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667" w:rsidRDefault="00B95568" w:rsidP="00854667">
      <w:pPr>
        <w:pStyle w:val="TtuloDoc"/>
        <w:rPr>
          <w:b w:val="0"/>
        </w:rPr>
      </w:pPr>
      <w:r w:rsidRPr="006D41F7">
        <w:t xml:space="preserve">ANEJO </w:t>
      </w:r>
      <w:r w:rsidR="003C38A4" w:rsidRPr="006D41F7">
        <w:t xml:space="preserve">Nº </w:t>
      </w:r>
      <w:r w:rsidRPr="006D41F7">
        <w:t>1</w:t>
      </w:r>
      <w:r w:rsidR="00F471C8" w:rsidRPr="006D41F7">
        <w:t>0</w:t>
      </w:r>
      <w:r w:rsidRPr="006D41F7">
        <w:t xml:space="preserve">. </w:t>
      </w:r>
      <w:r w:rsidR="00A44F63" w:rsidRPr="006D41F7">
        <w:t>CONTROL DE CALIDAD</w:t>
      </w:r>
    </w:p>
    <w:p w:rsidR="00854667" w:rsidRDefault="00854667" w:rsidP="00854667">
      <w:pPr>
        <w:pStyle w:val="TtuloDoc"/>
        <w:sectPr w:rsidR="00854667" w:rsidSect="00404A95">
          <w:headerReference w:type="even" r:id="rId9"/>
          <w:headerReference w:type="default" r:id="rId10"/>
          <w:footerReference w:type="even" r:id="rId11"/>
          <w:footerReference w:type="default" r:id="rId12"/>
          <w:headerReference w:type="first" r:id="rId13"/>
          <w:footerReference w:type="first" r:id="rId14"/>
          <w:pgSz w:w="11906" w:h="16838" w:code="9"/>
          <w:pgMar w:top="1559" w:right="1418" w:bottom="1418" w:left="1418" w:header="709" w:footer="941" w:gutter="0"/>
          <w:cols w:space="708"/>
          <w:vAlign w:val="center"/>
          <w:docGrid w:linePitch="360"/>
        </w:sectPr>
      </w:pPr>
    </w:p>
    <w:p w:rsidR="00404A95" w:rsidRPr="00854667" w:rsidRDefault="00854667" w:rsidP="00742434">
      <w:pPr>
        <w:rPr>
          <w:b/>
          <w:u w:val="single"/>
        </w:rPr>
      </w:pPr>
      <w:r>
        <w:rPr>
          <w:b/>
          <w:u w:val="single"/>
        </w:rPr>
        <w:lastRenderedPageBreak/>
        <w:t>ÍNDICE</w:t>
      </w:r>
    </w:p>
    <w:p w:rsidR="00341FB2" w:rsidRDefault="000F672F">
      <w:pPr>
        <w:pStyle w:val="TDC1"/>
        <w:tabs>
          <w:tab w:val="left" w:pos="440"/>
          <w:tab w:val="right" w:leader="dot" w:pos="9062"/>
        </w:tabs>
        <w:rPr>
          <w:rFonts w:eastAsiaTheme="minorEastAsia"/>
          <w:b w:val="0"/>
          <w:noProof/>
          <w:lang w:eastAsia="es-ES"/>
        </w:rPr>
      </w:pPr>
      <w:r>
        <w:fldChar w:fldCharType="begin"/>
      </w:r>
      <w:r w:rsidR="00A44F63">
        <w:instrText xml:space="preserve"> TOC \o "1-2" \h \z \u </w:instrText>
      </w:r>
      <w:r>
        <w:fldChar w:fldCharType="separate"/>
      </w:r>
      <w:hyperlink w:anchor="_Toc536531059" w:history="1">
        <w:r w:rsidR="00341FB2" w:rsidRPr="00C965C6">
          <w:rPr>
            <w:rStyle w:val="Hipervnculo"/>
            <w:noProof/>
          </w:rPr>
          <w:t>1.</w:t>
        </w:r>
        <w:r w:rsidR="00341FB2">
          <w:rPr>
            <w:rFonts w:eastAsiaTheme="minorEastAsia"/>
            <w:b w:val="0"/>
            <w:noProof/>
            <w:lang w:eastAsia="es-ES"/>
          </w:rPr>
          <w:tab/>
        </w:r>
        <w:r w:rsidR="00341FB2" w:rsidRPr="00C965C6">
          <w:rPr>
            <w:rStyle w:val="Hipervnculo"/>
            <w:noProof/>
          </w:rPr>
          <w:t>INTRODUCCIÓN</w:t>
        </w:r>
        <w:r w:rsidR="00341FB2">
          <w:rPr>
            <w:noProof/>
            <w:webHidden/>
          </w:rPr>
          <w:tab/>
        </w:r>
        <w:r>
          <w:rPr>
            <w:noProof/>
            <w:webHidden/>
          </w:rPr>
          <w:fldChar w:fldCharType="begin"/>
        </w:r>
        <w:r w:rsidR="00341FB2">
          <w:rPr>
            <w:noProof/>
            <w:webHidden/>
          </w:rPr>
          <w:instrText xml:space="preserve"> PAGEREF _Toc536531059 \h </w:instrText>
        </w:r>
        <w:r>
          <w:rPr>
            <w:noProof/>
            <w:webHidden/>
          </w:rPr>
        </w:r>
        <w:r>
          <w:rPr>
            <w:noProof/>
            <w:webHidden/>
          </w:rPr>
          <w:fldChar w:fldCharType="separate"/>
        </w:r>
        <w:r w:rsidR="002E258A">
          <w:rPr>
            <w:noProof/>
            <w:webHidden/>
          </w:rPr>
          <w:t>1</w:t>
        </w:r>
        <w:r>
          <w:rPr>
            <w:noProof/>
            <w:webHidden/>
          </w:rPr>
          <w:fldChar w:fldCharType="end"/>
        </w:r>
      </w:hyperlink>
    </w:p>
    <w:p w:rsidR="00341FB2" w:rsidRDefault="002E258A">
      <w:pPr>
        <w:pStyle w:val="TDC2"/>
        <w:tabs>
          <w:tab w:val="left" w:pos="880"/>
          <w:tab w:val="right" w:leader="dot" w:pos="9062"/>
        </w:tabs>
        <w:rPr>
          <w:rFonts w:eastAsiaTheme="minorEastAsia"/>
          <w:noProof/>
          <w:lang w:eastAsia="es-ES"/>
        </w:rPr>
      </w:pPr>
      <w:hyperlink w:anchor="_Toc536531060" w:history="1">
        <w:r w:rsidR="00341FB2" w:rsidRPr="00C965C6">
          <w:rPr>
            <w:rStyle w:val="Hipervnculo"/>
            <w:noProof/>
          </w:rPr>
          <w:t>1.1.</w:t>
        </w:r>
        <w:r w:rsidR="00341FB2">
          <w:rPr>
            <w:rFonts w:eastAsiaTheme="minorEastAsia"/>
            <w:noProof/>
            <w:lang w:eastAsia="es-ES"/>
          </w:rPr>
          <w:tab/>
        </w:r>
        <w:r w:rsidR="00341FB2" w:rsidRPr="00C965C6">
          <w:rPr>
            <w:rStyle w:val="Hipervnculo"/>
            <w:noProof/>
          </w:rPr>
          <w:t>DESCRIPCIÓN DE LA OBRA</w:t>
        </w:r>
        <w:r w:rsidR="00341FB2">
          <w:rPr>
            <w:noProof/>
            <w:webHidden/>
          </w:rPr>
          <w:tab/>
        </w:r>
        <w:r w:rsidR="000F672F">
          <w:rPr>
            <w:noProof/>
            <w:webHidden/>
          </w:rPr>
          <w:fldChar w:fldCharType="begin"/>
        </w:r>
        <w:r w:rsidR="00341FB2">
          <w:rPr>
            <w:noProof/>
            <w:webHidden/>
          </w:rPr>
          <w:instrText xml:space="preserve"> PAGEREF _Toc536531060 \h </w:instrText>
        </w:r>
        <w:r w:rsidR="000F672F">
          <w:rPr>
            <w:noProof/>
            <w:webHidden/>
          </w:rPr>
        </w:r>
        <w:r w:rsidR="000F672F">
          <w:rPr>
            <w:noProof/>
            <w:webHidden/>
          </w:rPr>
          <w:fldChar w:fldCharType="separate"/>
        </w:r>
        <w:r>
          <w:rPr>
            <w:noProof/>
            <w:webHidden/>
          </w:rPr>
          <w:t>1</w:t>
        </w:r>
        <w:r w:rsidR="000F672F">
          <w:rPr>
            <w:noProof/>
            <w:webHidden/>
          </w:rPr>
          <w:fldChar w:fldCharType="end"/>
        </w:r>
      </w:hyperlink>
    </w:p>
    <w:p w:rsidR="00341FB2" w:rsidRDefault="002E258A">
      <w:pPr>
        <w:pStyle w:val="TDC2"/>
        <w:tabs>
          <w:tab w:val="left" w:pos="880"/>
          <w:tab w:val="right" w:leader="dot" w:pos="9062"/>
        </w:tabs>
        <w:rPr>
          <w:rFonts w:eastAsiaTheme="minorEastAsia"/>
          <w:noProof/>
          <w:lang w:eastAsia="es-ES"/>
        </w:rPr>
      </w:pPr>
      <w:hyperlink w:anchor="_Toc536531061" w:history="1">
        <w:r w:rsidR="00341FB2" w:rsidRPr="00C965C6">
          <w:rPr>
            <w:rStyle w:val="Hipervnculo"/>
            <w:noProof/>
          </w:rPr>
          <w:t>1.2.</w:t>
        </w:r>
        <w:r w:rsidR="00341FB2">
          <w:rPr>
            <w:rFonts w:eastAsiaTheme="minorEastAsia"/>
            <w:noProof/>
            <w:lang w:eastAsia="es-ES"/>
          </w:rPr>
          <w:tab/>
        </w:r>
        <w:r w:rsidR="00341FB2" w:rsidRPr="00C965C6">
          <w:rPr>
            <w:rStyle w:val="Hipervnculo"/>
            <w:noProof/>
          </w:rPr>
          <w:t>CONDICIONES DEL PROGRAMA DE CONTROL</w:t>
        </w:r>
        <w:r w:rsidR="00341FB2">
          <w:rPr>
            <w:noProof/>
            <w:webHidden/>
          </w:rPr>
          <w:tab/>
        </w:r>
        <w:r w:rsidR="000F672F">
          <w:rPr>
            <w:noProof/>
            <w:webHidden/>
          </w:rPr>
          <w:fldChar w:fldCharType="begin"/>
        </w:r>
        <w:r w:rsidR="00341FB2">
          <w:rPr>
            <w:noProof/>
            <w:webHidden/>
          </w:rPr>
          <w:instrText xml:space="preserve"> PAGEREF _Toc536531061 \h </w:instrText>
        </w:r>
        <w:r w:rsidR="000F672F">
          <w:rPr>
            <w:noProof/>
            <w:webHidden/>
          </w:rPr>
        </w:r>
        <w:r w:rsidR="000F672F">
          <w:rPr>
            <w:noProof/>
            <w:webHidden/>
          </w:rPr>
          <w:fldChar w:fldCharType="separate"/>
        </w:r>
        <w:r>
          <w:rPr>
            <w:noProof/>
            <w:webHidden/>
          </w:rPr>
          <w:t>1</w:t>
        </w:r>
        <w:r w:rsidR="000F672F">
          <w:rPr>
            <w:noProof/>
            <w:webHidden/>
          </w:rPr>
          <w:fldChar w:fldCharType="end"/>
        </w:r>
      </w:hyperlink>
    </w:p>
    <w:p w:rsidR="00341FB2" w:rsidRDefault="002E258A">
      <w:pPr>
        <w:pStyle w:val="TDC2"/>
        <w:tabs>
          <w:tab w:val="left" w:pos="880"/>
          <w:tab w:val="right" w:leader="dot" w:pos="9062"/>
        </w:tabs>
        <w:rPr>
          <w:rFonts w:eastAsiaTheme="minorEastAsia"/>
          <w:noProof/>
          <w:lang w:eastAsia="es-ES"/>
        </w:rPr>
      </w:pPr>
      <w:hyperlink w:anchor="_Toc536531062" w:history="1">
        <w:r w:rsidR="00341FB2" w:rsidRPr="00C965C6">
          <w:rPr>
            <w:rStyle w:val="Hipervnculo"/>
            <w:noProof/>
          </w:rPr>
          <w:t>1.3.</w:t>
        </w:r>
        <w:r w:rsidR="00341FB2">
          <w:rPr>
            <w:rFonts w:eastAsiaTheme="minorEastAsia"/>
            <w:noProof/>
            <w:lang w:eastAsia="es-ES"/>
          </w:rPr>
          <w:tab/>
        </w:r>
        <w:r w:rsidR="00341FB2" w:rsidRPr="00C965C6">
          <w:rPr>
            <w:rStyle w:val="Hipervnculo"/>
            <w:noProof/>
          </w:rPr>
          <w:t>NORMATIVA APLICADA</w:t>
        </w:r>
        <w:r w:rsidR="00341FB2">
          <w:rPr>
            <w:noProof/>
            <w:webHidden/>
          </w:rPr>
          <w:tab/>
        </w:r>
        <w:r w:rsidR="000F672F">
          <w:rPr>
            <w:noProof/>
            <w:webHidden/>
          </w:rPr>
          <w:fldChar w:fldCharType="begin"/>
        </w:r>
        <w:r w:rsidR="00341FB2">
          <w:rPr>
            <w:noProof/>
            <w:webHidden/>
          </w:rPr>
          <w:instrText xml:space="preserve"> PAGEREF _Toc536531062 \h </w:instrText>
        </w:r>
        <w:r w:rsidR="000F672F">
          <w:rPr>
            <w:noProof/>
            <w:webHidden/>
          </w:rPr>
        </w:r>
        <w:r w:rsidR="000F672F">
          <w:rPr>
            <w:noProof/>
            <w:webHidden/>
          </w:rPr>
          <w:fldChar w:fldCharType="separate"/>
        </w:r>
        <w:r>
          <w:rPr>
            <w:noProof/>
            <w:webHidden/>
          </w:rPr>
          <w:t>1</w:t>
        </w:r>
        <w:r w:rsidR="000F672F">
          <w:rPr>
            <w:noProof/>
            <w:webHidden/>
          </w:rPr>
          <w:fldChar w:fldCharType="end"/>
        </w:r>
      </w:hyperlink>
    </w:p>
    <w:p w:rsidR="00341FB2" w:rsidRDefault="002E258A">
      <w:pPr>
        <w:pStyle w:val="TDC1"/>
        <w:tabs>
          <w:tab w:val="left" w:pos="440"/>
          <w:tab w:val="right" w:leader="dot" w:pos="9062"/>
        </w:tabs>
        <w:rPr>
          <w:rFonts w:eastAsiaTheme="minorEastAsia"/>
          <w:b w:val="0"/>
          <w:noProof/>
          <w:lang w:eastAsia="es-ES"/>
        </w:rPr>
      </w:pPr>
      <w:hyperlink w:anchor="_Toc536531063" w:history="1">
        <w:r w:rsidR="00341FB2" w:rsidRPr="00C965C6">
          <w:rPr>
            <w:rStyle w:val="Hipervnculo"/>
            <w:noProof/>
          </w:rPr>
          <w:t>2.</w:t>
        </w:r>
        <w:r w:rsidR="00341FB2">
          <w:rPr>
            <w:rFonts w:eastAsiaTheme="minorEastAsia"/>
            <w:b w:val="0"/>
            <w:noProof/>
            <w:lang w:eastAsia="es-ES"/>
          </w:rPr>
          <w:tab/>
        </w:r>
        <w:r w:rsidR="00341FB2" w:rsidRPr="00C965C6">
          <w:rPr>
            <w:rStyle w:val="Hipervnculo"/>
            <w:noProof/>
          </w:rPr>
          <w:t>CONTROL DE MATERIALES</w:t>
        </w:r>
        <w:r w:rsidR="00341FB2">
          <w:rPr>
            <w:noProof/>
            <w:webHidden/>
          </w:rPr>
          <w:tab/>
        </w:r>
        <w:r w:rsidR="000F672F">
          <w:rPr>
            <w:noProof/>
            <w:webHidden/>
          </w:rPr>
          <w:fldChar w:fldCharType="begin"/>
        </w:r>
        <w:r w:rsidR="00341FB2">
          <w:rPr>
            <w:noProof/>
            <w:webHidden/>
          </w:rPr>
          <w:instrText xml:space="preserve"> PAGEREF _Toc536531063 \h </w:instrText>
        </w:r>
        <w:r w:rsidR="000F672F">
          <w:rPr>
            <w:noProof/>
            <w:webHidden/>
          </w:rPr>
        </w:r>
        <w:r w:rsidR="000F672F">
          <w:rPr>
            <w:noProof/>
            <w:webHidden/>
          </w:rPr>
          <w:fldChar w:fldCharType="separate"/>
        </w:r>
        <w:r>
          <w:rPr>
            <w:noProof/>
            <w:webHidden/>
          </w:rPr>
          <w:t>2</w:t>
        </w:r>
        <w:r w:rsidR="000F672F">
          <w:rPr>
            <w:noProof/>
            <w:webHidden/>
          </w:rPr>
          <w:fldChar w:fldCharType="end"/>
        </w:r>
      </w:hyperlink>
    </w:p>
    <w:p w:rsidR="00341FB2" w:rsidRDefault="002E258A">
      <w:pPr>
        <w:pStyle w:val="TDC2"/>
        <w:tabs>
          <w:tab w:val="left" w:pos="880"/>
          <w:tab w:val="right" w:leader="dot" w:pos="9062"/>
        </w:tabs>
        <w:rPr>
          <w:rFonts w:eastAsiaTheme="minorEastAsia"/>
          <w:noProof/>
          <w:lang w:eastAsia="es-ES"/>
        </w:rPr>
      </w:pPr>
      <w:hyperlink w:anchor="_Toc536531064" w:history="1">
        <w:r w:rsidR="00341FB2" w:rsidRPr="00C965C6">
          <w:rPr>
            <w:rStyle w:val="Hipervnculo"/>
            <w:noProof/>
          </w:rPr>
          <w:t>2.1.</w:t>
        </w:r>
        <w:r w:rsidR="00341FB2">
          <w:rPr>
            <w:rFonts w:eastAsiaTheme="minorEastAsia"/>
            <w:noProof/>
            <w:lang w:eastAsia="es-ES"/>
          </w:rPr>
          <w:tab/>
        </w:r>
        <w:r w:rsidR="00341FB2" w:rsidRPr="00C965C6">
          <w:rPr>
            <w:rStyle w:val="Hipervnculo"/>
            <w:noProof/>
          </w:rPr>
          <w:t>AGUAS DE AMASADO Y CURADO PARA HORMIGONES</w:t>
        </w:r>
        <w:r w:rsidR="00341FB2">
          <w:rPr>
            <w:noProof/>
            <w:webHidden/>
          </w:rPr>
          <w:tab/>
        </w:r>
        <w:r w:rsidR="000F672F">
          <w:rPr>
            <w:noProof/>
            <w:webHidden/>
          </w:rPr>
          <w:fldChar w:fldCharType="begin"/>
        </w:r>
        <w:r w:rsidR="00341FB2">
          <w:rPr>
            <w:noProof/>
            <w:webHidden/>
          </w:rPr>
          <w:instrText xml:space="preserve"> PAGEREF _Toc536531064 \h </w:instrText>
        </w:r>
        <w:r w:rsidR="000F672F">
          <w:rPr>
            <w:noProof/>
            <w:webHidden/>
          </w:rPr>
        </w:r>
        <w:r w:rsidR="000F672F">
          <w:rPr>
            <w:noProof/>
            <w:webHidden/>
          </w:rPr>
          <w:fldChar w:fldCharType="separate"/>
        </w:r>
        <w:r>
          <w:rPr>
            <w:noProof/>
            <w:webHidden/>
          </w:rPr>
          <w:t>2</w:t>
        </w:r>
        <w:r w:rsidR="000F672F">
          <w:rPr>
            <w:noProof/>
            <w:webHidden/>
          </w:rPr>
          <w:fldChar w:fldCharType="end"/>
        </w:r>
      </w:hyperlink>
    </w:p>
    <w:p w:rsidR="00341FB2" w:rsidRDefault="002E258A">
      <w:pPr>
        <w:pStyle w:val="TDC2"/>
        <w:tabs>
          <w:tab w:val="left" w:pos="880"/>
          <w:tab w:val="right" w:leader="dot" w:pos="9062"/>
        </w:tabs>
        <w:rPr>
          <w:rFonts w:eastAsiaTheme="minorEastAsia"/>
          <w:noProof/>
          <w:lang w:eastAsia="es-ES"/>
        </w:rPr>
      </w:pPr>
      <w:hyperlink w:anchor="_Toc536531065" w:history="1">
        <w:r w:rsidR="00341FB2" w:rsidRPr="00C965C6">
          <w:rPr>
            <w:rStyle w:val="Hipervnculo"/>
            <w:noProof/>
          </w:rPr>
          <w:t>2.2.</w:t>
        </w:r>
        <w:r w:rsidR="00341FB2">
          <w:rPr>
            <w:rFonts w:eastAsiaTheme="minorEastAsia"/>
            <w:noProof/>
            <w:lang w:eastAsia="es-ES"/>
          </w:rPr>
          <w:tab/>
        </w:r>
        <w:r w:rsidR="00341FB2" w:rsidRPr="00C965C6">
          <w:rPr>
            <w:rStyle w:val="Hipervnculo"/>
            <w:noProof/>
          </w:rPr>
          <w:t>ÁRIDOS PARA LA FABRICACIÓN DE HORMIGONES</w:t>
        </w:r>
        <w:r w:rsidR="00341FB2">
          <w:rPr>
            <w:noProof/>
            <w:webHidden/>
          </w:rPr>
          <w:tab/>
        </w:r>
        <w:r w:rsidR="000F672F">
          <w:rPr>
            <w:noProof/>
            <w:webHidden/>
          </w:rPr>
          <w:fldChar w:fldCharType="begin"/>
        </w:r>
        <w:r w:rsidR="00341FB2">
          <w:rPr>
            <w:noProof/>
            <w:webHidden/>
          </w:rPr>
          <w:instrText xml:space="preserve"> PAGEREF _Toc536531065 \h </w:instrText>
        </w:r>
        <w:r w:rsidR="000F672F">
          <w:rPr>
            <w:noProof/>
            <w:webHidden/>
          </w:rPr>
        </w:r>
        <w:r w:rsidR="000F672F">
          <w:rPr>
            <w:noProof/>
            <w:webHidden/>
          </w:rPr>
          <w:fldChar w:fldCharType="separate"/>
        </w:r>
        <w:r>
          <w:rPr>
            <w:noProof/>
            <w:webHidden/>
          </w:rPr>
          <w:t>3</w:t>
        </w:r>
        <w:r w:rsidR="000F672F">
          <w:rPr>
            <w:noProof/>
            <w:webHidden/>
          </w:rPr>
          <w:fldChar w:fldCharType="end"/>
        </w:r>
      </w:hyperlink>
    </w:p>
    <w:p w:rsidR="00341FB2" w:rsidRDefault="002E258A">
      <w:pPr>
        <w:pStyle w:val="TDC2"/>
        <w:tabs>
          <w:tab w:val="left" w:pos="880"/>
          <w:tab w:val="right" w:leader="dot" w:pos="9062"/>
        </w:tabs>
        <w:rPr>
          <w:rFonts w:eastAsiaTheme="minorEastAsia"/>
          <w:noProof/>
          <w:lang w:eastAsia="es-ES"/>
        </w:rPr>
      </w:pPr>
      <w:hyperlink w:anchor="_Toc536531066" w:history="1">
        <w:r w:rsidR="00341FB2" w:rsidRPr="00C965C6">
          <w:rPr>
            <w:rStyle w:val="Hipervnculo"/>
            <w:noProof/>
          </w:rPr>
          <w:t>2.3.</w:t>
        </w:r>
        <w:r w:rsidR="00341FB2">
          <w:rPr>
            <w:rFonts w:eastAsiaTheme="minorEastAsia"/>
            <w:noProof/>
            <w:lang w:eastAsia="es-ES"/>
          </w:rPr>
          <w:tab/>
        </w:r>
        <w:r w:rsidR="00341FB2" w:rsidRPr="00C965C6">
          <w:rPr>
            <w:rStyle w:val="Hipervnculo"/>
            <w:noProof/>
          </w:rPr>
          <w:t>CEMENTOS PARA LA FABRICACIÓN DE HORMIGONES</w:t>
        </w:r>
        <w:r w:rsidR="00341FB2">
          <w:rPr>
            <w:noProof/>
            <w:webHidden/>
          </w:rPr>
          <w:tab/>
        </w:r>
        <w:r w:rsidR="000F672F">
          <w:rPr>
            <w:noProof/>
            <w:webHidden/>
          </w:rPr>
          <w:fldChar w:fldCharType="begin"/>
        </w:r>
        <w:r w:rsidR="00341FB2">
          <w:rPr>
            <w:noProof/>
            <w:webHidden/>
          </w:rPr>
          <w:instrText xml:space="preserve"> PAGEREF _Toc536531066 \h </w:instrText>
        </w:r>
        <w:r w:rsidR="000F672F">
          <w:rPr>
            <w:noProof/>
            <w:webHidden/>
          </w:rPr>
        </w:r>
        <w:r w:rsidR="000F672F">
          <w:rPr>
            <w:noProof/>
            <w:webHidden/>
          </w:rPr>
          <w:fldChar w:fldCharType="separate"/>
        </w:r>
        <w:r>
          <w:rPr>
            <w:noProof/>
            <w:webHidden/>
          </w:rPr>
          <w:t>4</w:t>
        </w:r>
        <w:r w:rsidR="000F672F">
          <w:rPr>
            <w:noProof/>
            <w:webHidden/>
          </w:rPr>
          <w:fldChar w:fldCharType="end"/>
        </w:r>
      </w:hyperlink>
    </w:p>
    <w:p w:rsidR="00341FB2" w:rsidRDefault="002E258A">
      <w:pPr>
        <w:pStyle w:val="TDC2"/>
        <w:tabs>
          <w:tab w:val="left" w:pos="880"/>
          <w:tab w:val="right" w:leader="dot" w:pos="9062"/>
        </w:tabs>
        <w:rPr>
          <w:rFonts w:eastAsiaTheme="minorEastAsia"/>
          <w:noProof/>
          <w:lang w:eastAsia="es-ES"/>
        </w:rPr>
      </w:pPr>
      <w:hyperlink w:anchor="_Toc536531067" w:history="1">
        <w:r w:rsidR="00341FB2" w:rsidRPr="00C965C6">
          <w:rPr>
            <w:rStyle w:val="Hipervnculo"/>
            <w:noProof/>
          </w:rPr>
          <w:t>2.4.</w:t>
        </w:r>
        <w:r w:rsidR="00341FB2">
          <w:rPr>
            <w:rFonts w:eastAsiaTheme="minorEastAsia"/>
            <w:noProof/>
            <w:lang w:eastAsia="es-ES"/>
          </w:rPr>
          <w:tab/>
        </w:r>
        <w:r w:rsidR="00341FB2" w:rsidRPr="00C965C6">
          <w:rPr>
            <w:rStyle w:val="Hipervnculo"/>
            <w:noProof/>
          </w:rPr>
          <w:t>ADITIVOS PARA LA FABRICACIÓN DE HORMIGONES</w:t>
        </w:r>
        <w:r w:rsidR="00341FB2">
          <w:rPr>
            <w:noProof/>
            <w:webHidden/>
          </w:rPr>
          <w:tab/>
        </w:r>
        <w:r w:rsidR="000F672F">
          <w:rPr>
            <w:noProof/>
            <w:webHidden/>
          </w:rPr>
          <w:fldChar w:fldCharType="begin"/>
        </w:r>
        <w:r w:rsidR="00341FB2">
          <w:rPr>
            <w:noProof/>
            <w:webHidden/>
          </w:rPr>
          <w:instrText xml:space="preserve"> PAGEREF _Toc536531067 \h </w:instrText>
        </w:r>
        <w:r w:rsidR="000F672F">
          <w:rPr>
            <w:noProof/>
            <w:webHidden/>
          </w:rPr>
        </w:r>
        <w:r w:rsidR="000F672F">
          <w:rPr>
            <w:noProof/>
            <w:webHidden/>
          </w:rPr>
          <w:fldChar w:fldCharType="separate"/>
        </w:r>
        <w:r>
          <w:rPr>
            <w:noProof/>
            <w:webHidden/>
          </w:rPr>
          <w:t>6</w:t>
        </w:r>
        <w:r w:rsidR="000F672F">
          <w:rPr>
            <w:noProof/>
            <w:webHidden/>
          </w:rPr>
          <w:fldChar w:fldCharType="end"/>
        </w:r>
      </w:hyperlink>
    </w:p>
    <w:p w:rsidR="00341FB2" w:rsidRDefault="002E258A">
      <w:pPr>
        <w:pStyle w:val="TDC2"/>
        <w:tabs>
          <w:tab w:val="left" w:pos="880"/>
          <w:tab w:val="right" w:leader="dot" w:pos="9062"/>
        </w:tabs>
        <w:rPr>
          <w:rFonts w:eastAsiaTheme="minorEastAsia"/>
          <w:noProof/>
          <w:lang w:eastAsia="es-ES"/>
        </w:rPr>
      </w:pPr>
      <w:hyperlink w:anchor="_Toc536531068" w:history="1">
        <w:r w:rsidR="00341FB2" w:rsidRPr="00C965C6">
          <w:rPr>
            <w:rStyle w:val="Hipervnculo"/>
            <w:noProof/>
          </w:rPr>
          <w:t>2.5.</w:t>
        </w:r>
        <w:r w:rsidR="00341FB2">
          <w:rPr>
            <w:rFonts w:eastAsiaTheme="minorEastAsia"/>
            <w:noProof/>
            <w:lang w:eastAsia="es-ES"/>
          </w:rPr>
          <w:tab/>
        </w:r>
        <w:r w:rsidR="00341FB2" w:rsidRPr="00C965C6">
          <w:rPr>
            <w:rStyle w:val="Hipervnculo"/>
            <w:noProof/>
          </w:rPr>
          <w:t>HORMIGÓN</w:t>
        </w:r>
        <w:r w:rsidR="00341FB2">
          <w:rPr>
            <w:noProof/>
            <w:webHidden/>
          </w:rPr>
          <w:tab/>
        </w:r>
        <w:r w:rsidR="000F672F">
          <w:rPr>
            <w:noProof/>
            <w:webHidden/>
          </w:rPr>
          <w:fldChar w:fldCharType="begin"/>
        </w:r>
        <w:r w:rsidR="00341FB2">
          <w:rPr>
            <w:noProof/>
            <w:webHidden/>
          </w:rPr>
          <w:instrText xml:space="preserve"> PAGEREF _Toc536531068 \h </w:instrText>
        </w:r>
        <w:r w:rsidR="000F672F">
          <w:rPr>
            <w:noProof/>
            <w:webHidden/>
          </w:rPr>
        </w:r>
        <w:r w:rsidR="000F672F">
          <w:rPr>
            <w:noProof/>
            <w:webHidden/>
          </w:rPr>
          <w:fldChar w:fldCharType="separate"/>
        </w:r>
        <w:r>
          <w:rPr>
            <w:noProof/>
            <w:webHidden/>
          </w:rPr>
          <w:t>8</w:t>
        </w:r>
        <w:r w:rsidR="000F672F">
          <w:rPr>
            <w:noProof/>
            <w:webHidden/>
          </w:rPr>
          <w:fldChar w:fldCharType="end"/>
        </w:r>
      </w:hyperlink>
    </w:p>
    <w:p w:rsidR="00341FB2" w:rsidRDefault="002E258A">
      <w:pPr>
        <w:pStyle w:val="TDC2"/>
        <w:tabs>
          <w:tab w:val="left" w:pos="880"/>
          <w:tab w:val="right" w:leader="dot" w:pos="9062"/>
        </w:tabs>
        <w:rPr>
          <w:rFonts w:eastAsiaTheme="minorEastAsia"/>
          <w:noProof/>
          <w:lang w:eastAsia="es-ES"/>
        </w:rPr>
      </w:pPr>
      <w:hyperlink w:anchor="_Toc536531069" w:history="1">
        <w:r w:rsidR="00341FB2" w:rsidRPr="00C965C6">
          <w:rPr>
            <w:rStyle w:val="Hipervnculo"/>
            <w:noProof/>
          </w:rPr>
          <w:t>2.6.</w:t>
        </w:r>
        <w:r w:rsidR="00341FB2">
          <w:rPr>
            <w:rFonts w:eastAsiaTheme="minorEastAsia"/>
            <w:noProof/>
            <w:lang w:eastAsia="es-ES"/>
          </w:rPr>
          <w:tab/>
        </w:r>
        <w:r w:rsidR="00341FB2" w:rsidRPr="00C965C6">
          <w:rPr>
            <w:rStyle w:val="Hipervnculo"/>
            <w:noProof/>
          </w:rPr>
          <w:t>ACERO CORRUGADO</w:t>
        </w:r>
        <w:r w:rsidR="00341FB2">
          <w:rPr>
            <w:noProof/>
            <w:webHidden/>
          </w:rPr>
          <w:tab/>
        </w:r>
        <w:r w:rsidR="000F672F">
          <w:rPr>
            <w:noProof/>
            <w:webHidden/>
          </w:rPr>
          <w:fldChar w:fldCharType="begin"/>
        </w:r>
        <w:r w:rsidR="00341FB2">
          <w:rPr>
            <w:noProof/>
            <w:webHidden/>
          </w:rPr>
          <w:instrText xml:space="preserve"> PAGEREF _Toc536531069 \h </w:instrText>
        </w:r>
        <w:r w:rsidR="000F672F">
          <w:rPr>
            <w:noProof/>
            <w:webHidden/>
          </w:rPr>
        </w:r>
        <w:r w:rsidR="000F672F">
          <w:rPr>
            <w:noProof/>
            <w:webHidden/>
          </w:rPr>
          <w:fldChar w:fldCharType="separate"/>
        </w:r>
        <w:r>
          <w:rPr>
            <w:noProof/>
            <w:webHidden/>
          </w:rPr>
          <w:t>10</w:t>
        </w:r>
        <w:r w:rsidR="000F672F">
          <w:rPr>
            <w:noProof/>
            <w:webHidden/>
          </w:rPr>
          <w:fldChar w:fldCharType="end"/>
        </w:r>
      </w:hyperlink>
    </w:p>
    <w:p w:rsidR="00341FB2" w:rsidRDefault="002E258A">
      <w:pPr>
        <w:pStyle w:val="TDC2"/>
        <w:tabs>
          <w:tab w:val="left" w:pos="880"/>
          <w:tab w:val="right" w:leader="dot" w:pos="9062"/>
        </w:tabs>
        <w:rPr>
          <w:rFonts w:eastAsiaTheme="minorEastAsia"/>
          <w:noProof/>
          <w:lang w:eastAsia="es-ES"/>
        </w:rPr>
      </w:pPr>
      <w:hyperlink w:anchor="_Toc536531070" w:history="1">
        <w:r w:rsidR="00341FB2" w:rsidRPr="00C965C6">
          <w:rPr>
            <w:rStyle w:val="Hipervnculo"/>
            <w:noProof/>
          </w:rPr>
          <w:t>2.7.</w:t>
        </w:r>
        <w:r w:rsidR="00341FB2">
          <w:rPr>
            <w:rFonts w:eastAsiaTheme="minorEastAsia"/>
            <w:noProof/>
            <w:lang w:eastAsia="es-ES"/>
          </w:rPr>
          <w:tab/>
        </w:r>
        <w:r w:rsidR="00341FB2" w:rsidRPr="00C965C6">
          <w:rPr>
            <w:rStyle w:val="Hipervnculo"/>
            <w:noProof/>
          </w:rPr>
          <w:t>MALLA ELECTROSOLDADA</w:t>
        </w:r>
        <w:r w:rsidR="00341FB2">
          <w:rPr>
            <w:noProof/>
            <w:webHidden/>
          </w:rPr>
          <w:tab/>
        </w:r>
        <w:r w:rsidR="000F672F">
          <w:rPr>
            <w:noProof/>
            <w:webHidden/>
          </w:rPr>
          <w:fldChar w:fldCharType="begin"/>
        </w:r>
        <w:r w:rsidR="00341FB2">
          <w:rPr>
            <w:noProof/>
            <w:webHidden/>
          </w:rPr>
          <w:instrText xml:space="preserve"> PAGEREF _Toc536531070 \h </w:instrText>
        </w:r>
        <w:r w:rsidR="000F672F">
          <w:rPr>
            <w:noProof/>
            <w:webHidden/>
          </w:rPr>
        </w:r>
        <w:r w:rsidR="000F672F">
          <w:rPr>
            <w:noProof/>
            <w:webHidden/>
          </w:rPr>
          <w:fldChar w:fldCharType="separate"/>
        </w:r>
        <w:r>
          <w:rPr>
            <w:noProof/>
            <w:webHidden/>
          </w:rPr>
          <w:t>12</w:t>
        </w:r>
        <w:r w:rsidR="000F672F">
          <w:rPr>
            <w:noProof/>
            <w:webHidden/>
          </w:rPr>
          <w:fldChar w:fldCharType="end"/>
        </w:r>
      </w:hyperlink>
    </w:p>
    <w:p w:rsidR="00341FB2" w:rsidRDefault="002E258A">
      <w:pPr>
        <w:pStyle w:val="TDC2"/>
        <w:tabs>
          <w:tab w:val="left" w:pos="880"/>
          <w:tab w:val="right" w:leader="dot" w:pos="9062"/>
        </w:tabs>
        <w:rPr>
          <w:rFonts w:eastAsiaTheme="minorEastAsia"/>
          <w:noProof/>
          <w:lang w:eastAsia="es-ES"/>
        </w:rPr>
      </w:pPr>
      <w:hyperlink w:anchor="_Toc536531071" w:history="1">
        <w:r w:rsidR="00341FB2" w:rsidRPr="00C965C6">
          <w:rPr>
            <w:rStyle w:val="Hipervnculo"/>
            <w:noProof/>
          </w:rPr>
          <w:t>2.8.</w:t>
        </w:r>
        <w:r w:rsidR="00341FB2">
          <w:rPr>
            <w:rFonts w:eastAsiaTheme="minorEastAsia"/>
            <w:noProof/>
            <w:lang w:eastAsia="es-ES"/>
          </w:rPr>
          <w:tab/>
        </w:r>
        <w:r w:rsidR="00341FB2" w:rsidRPr="00C965C6">
          <w:rPr>
            <w:rStyle w:val="Hipervnculo"/>
            <w:noProof/>
          </w:rPr>
          <w:t>RELLENOS, BASES Y SUBBASES</w:t>
        </w:r>
        <w:r w:rsidR="00341FB2">
          <w:rPr>
            <w:noProof/>
            <w:webHidden/>
          </w:rPr>
          <w:tab/>
        </w:r>
        <w:r w:rsidR="000F672F">
          <w:rPr>
            <w:noProof/>
            <w:webHidden/>
          </w:rPr>
          <w:fldChar w:fldCharType="begin"/>
        </w:r>
        <w:r w:rsidR="00341FB2">
          <w:rPr>
            <w:noProof/>
            <w:webHidden/>
          </w:rPr>
          <w:instrText xml:space="preserve"> PAGEREF _Toc536531071 \h </w:instrText>
        </w:r>
        <w:r w:rsidR="000F672F">
          <w:rPr>
            <w:noProof/>
            <w:webHidden/>
          </w:rPr>
        </w:r>
        <w:r w:rsidR="000F672F">
          <w:rPr>
            <w:noProof/>
            <w:webHidden/>
          </w:rPr>
          <w:fldChar w:fldCharType="separate"/>
        </w:r>
        <w:r>
          <w:rPr>
            <w:noProof/>
            <w:webHidden/>
          </w:rPr>
          <w:t>13</w:t>
        </w:r>
        <w:r w:rsidR="000F672F">
          <w:rPr>
            <w:noProof/>
            <w:webHidden/>
          </w:rPr>
          <w:fldChar w:fldCharType="end"/>
        </w:r>
      </w:hyperlink>
    </w:p>
    <w:p w:rsidR="00341FB2" w:rsidRDefault="002E258A">
      <w:pPr>
        <w:pStyle w:val="TDC1"/>
        <w:tabs>
          <w:tab w:val="left" w:pos="440"/>
          <w:tab w:val="right" w:leader="dot" w:pos="9062"/>
        </w:tabs>
        <w:rPr>
          <w:rFonts w:eastAsiaTheme="minorEastAsia"/>
          <w:b w:val="0"/>
          <w:noProof/>
          <w:lang w:eastAsia="es-ES"/>
        </w:rPr>
      </w:pPr>
      <w:hyperlink w:anchor="_Toc536531072" w:history="1">
        <w:r w:rsidR="00341FB2" w:rsidRPr="00C965C6">
          <w:rPr>
            <w:rStyle w:val="Hipervnculo"/>
            <w:noProof/>
          </w:rPr>
          <w:t>3.</w:t>
        </w:r>
        <w:r w:rsidR="00341FB2">
          <w:rPr>
            <w:rFonts w:eastAsiaTheme="minorEastAsia"/>
            <w:b w:val="0"/>
            <w:noProof/>
            <w:lang w:eastAsia="es-ES"/>
          </w:rPr>
          <w:tab/>
        </w:r>
        <w:r w:rsidR="00341FB2" w:rsidRPr="00C965C6">
          <w:rPr>
            <w:rStyle w:val="Hipervnculo"/>
            <w:noProof/>
          </w:rPr>
          <w:t>VALORACIÓN ECONÓMICA</w:t>
        </w:r>
        <w:r w:rsidR="00341FB2">
          <w:rPr>
            <w:noProof/>
            <w:webHidden/>
          </w:rPr>
          <w:tab/>
        </w:r>
        <w:r w:rsidR="000F672F">
          <w:rPr>
            <w:noProof/>
            <w:webHidden/>
          </w:rPr>
          <w:fldChar w:fldCharType="begin"/>
        </w:r>
        <w:r w:rsidR="00341FB2">
          <w:rPr>
            <w:noProof/>
            <w:webHidden/>
          </w:rPr>
          <w:instrText xml:space="preserve"> PAGEREF _Toc536531072 \h </w:instrText>
        </w:r>
        <w:r w:rsidR="000F672F">
          <w:rPr>
            <w:noProof/>
            <w:webHidden/>
          </w:rPr>
        </w:r>
        <w:r w:rsidR="000F672F">
          <w:rPr>
            <w:noProof/>
            <w:webHidden/>
          </w:rPr>
          <w:fldChar w:fldCharType="separate"/>
        </w:r>
        <w:r>
          <w:rPr>
            <w:noProof/>
            <w:webHidden/>
          </w:rPr>
          <w:t>15</w:t>
        </w:r>
        <w:r w:rsidR="000F672F">
          <w:rPr>
            <w:noProof/>
            <w:webHidden/>
          </w:rPr>
          <w:fldChar w:fldCharType="end"/>
        </w:r>
      </w:hyperlink>
    </w:p>
    <w:p w:rsidR="00341FB2" w:rsidRDefault="002E258A">
      <w:pPr>
        <w:pStyle w:val="TDC2"/>
        <w:tabs>
          <w:tab w:val="left" w:pos="880"/>
          <w:tab w:val="right" w:leader="dot" w:pos="9062"/>
        </w:tabs>
        <w:rPr>
          <w:rFonts w:eastAsiaTheme="minorEastAsia"/>
          <w:noProof/>
          <w:lang w:eastAsia="es-ES"/>
        </w:rPr>
      </w:pPr>
      <w:hyperlink w:anchor="_Toc536531073" w:history="1">
        <w:r w:rsidR="00341FB2" w:rsidRPr="00C965C6">
          <w:rPr>
            <w:rStyle w:val="Hipervnculo"/>
            <w:noProof/>
          </w:rPr>
          <w:t>3.1.</w:t>
        </w:r>
        <w:r w:rsidR="00341FB2">
          <w:rPr>
            <w:rFonts w:eastAsiaTheme="minorEastAsia"/>
            <w:noProof/>
            <w:lang w:eastAsia="es-ES"/>
          </w:rPr>
          <w:tab/>
        </w:r>
        <w:r w:rsidR="00341FB2" w:rsidRPr="00C965C6">
          <w:rPr>
            <w:rStyle w:val="Hipervnculo"/>
            <w:noProof/>
          </w:rPr>
          <w:t>VALORACIÓN</w:t>
        </w:r>
        <w:r w:rsidR="00341FB2">
          <w:rPr>
            <w:noProof/>
            <w:webHidden/>
          </w:rPr>
          <w:tab/>
        </w:r>
        <w:r w:rsidR="000F672F">
          <w:rPr>
            <w:noProof/>
            <w:webHidden/>
          </w:rPr>
          <w:fldChar w:fldCharType="begin"/>
        </w:r>
        <w:r w:rsidR="00341FB2">
          <w:rPr>
            <w:noProof/>
            <w:webHidden/>
          </w:rPr>
          <w:instrText xml:space="preserve"> PAGEREF _Toc536531073 \h </w:instrText>
        </w:r>
        <w:r w:rsidR="000F672F">
          <w:rPr>
            <w:noProof/>
            <w:webHidden/>
          </w:rPr>
        </w:r>
        <w:r w:rsidR="000F672F">
          <w:rPr>
            <w:noProof/>
            <w:webHidden/>
          </w:rPr>
          <w:fldChar w:fldCharType="separate"/>
        </w:r>
        <w:r>
          <w:rPr>
            <w:noProof/>
            <w:webHidden/>
          </w:rPr>
          <w:t>15</w:t>
        </w:r>
        <w:r w:rsidR="000F672F">
          <w:rPr>
            <w:noProof/>
            <w:webHidden/>
          </w:rPr>
          <w:fldChar w:fldCharType="end"/>
        </w:r>
      </w:hyperlink>
    </w:p>
    <w:p w:rsidR="00341FB2" w:rsidRDefault="002E258A">
      <w:pPr>
        <w:pStyle w:val="TDC2"/>
        <w:tabs>
          <w:tab w:val="left" w:pos="880"/>
          <w:tab w:val="right" w:leader="dot" w:pos="9062"/>
        </w:tabs>
        <w:rPr>
          <w:rFonts w:eastAsiaTheme="minorEastAsia"/>
          <w:noProof/>
          <w:lang w:eastAsia="es-ES"/>
        </w:rPr>
      </w:pPr>
      <w:hyperlink w:anchor="_Toc536531074" w:history="1">
        <w:r w:rsidR="00341FB2" w:rsidRPr="00C965C6">
          <w:rPr>
            <w:rStyle w:val="Hipervnculo"/>
            <w:noProof/>
          </w:rPr>
          <w:t>3.2.</w:t>
        </w:r>
        <w:r w:rsidR="00341FB2">
          <w:rPr>
            <w:rFonts w:eastAsiaTheme="minorEastAsia"/>
            <w:noProof/>
            <w:lang w:eastAsia="es-ES"/>
          </w:rPr>
          <w:tab/>
        </w:r>
        <w:r w:rsidR="00341FB2" w:rsidRPr="00C965C6">
          <w:rPr>
            <w:rStyle w:val="Hipervnculo"/>
            <w:noProof/>
          </w:rPr>
          <w:t>RESUMEN DE VALORACIÓN</w:t>
        </w:r>
        <w:r w:rsidR="00341FB2">
          <w:rPr>
            <w:noProof/>
            <w:webHidden/>
          </w:rPr>
          <w:tab/>
        </w:r>
        <w:r w:rsidR="000F672F">
          <w:rPr>
            <w:noProof/>
            <w:webHidden/>
          </w:rPr>
          <w:fldChar w:fldCharType="begin"/>
        </w:r>
        <w:r w:rsidR="00341FB2">
          <w:rPr>
            <w:noProof/>
            <w:webHidden/>
          </w:rPr>
          <w:instrText xml:space="preserve"> PAGEREF _Toc536531074 \h </w:instrText>
        </w:r>
        <w:r w:rsidR="000F672F">
          <w:rPr>
            <w:noProof/>
            <w:webHidden/>
          </w:rPr>
        </w:r>
        <w:r w:rsidR="000F672F">
          <w:rPr>
            <w:noProof/>
            <w:webHidden/>
          </w:rPr>
          <w:fldChar w:fldCharType="separate"/>
        </w:r>
        <w:r>
          <w:rPr>
            <w:noProof/>
            <w:webHidden/>
          </w:rPr>
          <w:t>16</w:t>
        </w:r>
        <w:r w:rsidR="000F672F">
          <w:rPr>
            <w:noProof/>
            <w:webHidden/>
          </w:rPr>
          <w:fldChar w:fldCharType="end"/>
        </w:r>
      </w:hyperlink>
    </w:p>
    <w:p w:rsidR="00854667" w:rsidRDefault="000F672F" w:rsidP="00742434">
      <w:r>
        <w:fldChar w:fldCharType="end"/>
      </w:r>
    </w:p>
    <w:p w:rsidR="00854667" w:rsidRDefault="00854667" w:rsidP="00742434"/>
    <w:p w:rsidR="00854667" w:rsidRDefault="00854667">
      <w:pPr>
        <w:jc w:val="left"/>
        <w:sectPr w:rsidR="00854667" w:rsidSect="00854667">
          <w:footerReference w:type="default" r:id="rId15"/>
          <w:pgSz w:w="11906" w:h="16838"/>
          <w:pgMar w:top="1560" w:right="1416" w:bottom="1417" w:left="1418" w:header="709" w:footer="942" w:gutter="0"/>
          <w:pgNumType w:fmt="lowerRoman" w:start="1"/>
          <w:cols w:space="708"/>
          <w:docGrid w:linePitch="360"/>
        </w:sectPr>
      </w:pPr>
    </w:p>
    <w:p w:rsidR="00A44F63" w:rsidRDefault="00A44F63" w:rsidP="00A44F63">
      <w:pPr>
        <w:pStyle w:val="Ttulo1"/>
        <w:spacing w:before="240" w:line="240" w:lineRule="auto"/>
      </w:pPr>
      <w:bookmarkStart w:id="0" w:name="_Toc517343940"/>
      <w:bookmarkStart w:id="1" w:name="_Toc517366228"/>
      <w:bookmarkStart w:id="2" w:name="_Toc536531059"/>
      <w:r>
        <w:lastRenderedPageBreak/>
        <w:t>INTRODUCCIÓN</w:t>
      </w:r>
      <w:bookmarkEnd w:id="0"/>
      <w:bookmarkEnd w:id="1"/>
      <w:bookmarkEnd w:id="2"/>
    </w:p>
    <w:p w:rsidR="00A44F63" w:rsidRDefault="00A44F63" w:rsidP="00A44F63">
      <w:r>
        <w:t>El presente Programa de Control de Calidad ha sido desarrollado según las directrices del Decreto</w:t>
      </w:r>
      <w:r w:rsidRPr="00131C88">
        <w:t xml:space="preserve"> 209/2014, de 28 de octubre, por el que se regula el control de calidad en la construcción.</w:t>
      </w:r>
    </w:p>
    <w:p w:rsidR="00A44F63" w:rsidRDefault="00A44F63" w:rsidP="00A44F63">
      <w:pPr>
        <w:pStyle w:val="Ttulo2"/>
        <w:spacing w:before="200" w:line="240" w:lineRule="auto"/>
      </w:pPr>
      <w:bookmarkStart w:id="3" w:name="_Toc517366229"/>
      <w:bookmarkStart w:id="4" w:name="_Toc536531060"/>
      <w:r>
        <w:t>DESCRIPCIÓN DE LA OBRA</w:t>
      </w:r>
      <w:bookmarkEnd w:id="3"/>
      <w:bookmarkEnd w:id="4"/>
    </w:p>
    <w:p w:rsidR="00A44F63" w:rsidRPr="0041570A" w:rsidRDefault="00A44F63" w:rsidP="00A44F63">
      <w:r>
        <w:t>En la memoria del presente proyecto se realiza una descripción de los trabajos a realizar para la ejecución del relleno en cuestión.</w:t>
      </w:r>
    </w:p>
    <w:p w:rsidR="00A44F63" w:rsidRDefault="00A44F63" w:rsidP="00A44F63">
      <w:pPr>
        <w:pStyle w:val="Ttulo2"/>
        <w:spacing w:before="200" w:line="240" w:lineRule="auto"/>
      </w:pPr>
      <w:bookmarkStart w:id="5" w:name="_Toc517366230"/>
      <w:bookmarkStart w:id="6" w:name="_Toc536531061"/>
      <w:r>
        <w:t>CONDICIONES DEL PROGRAMA DE CONTROL</w:t>
      </w:r>
      <w:bookmarkEnd w:id="5"/>
      <w:bookmarkEnd w:id="6"/>
    </w:p>
    <w:p w:rsidR="00A44F63" w:rsidRDefault="00A44F63" w:rsidP="00A44F63">
      <w:r>
        <w:t xml:space="preserve">En el presente Programa de Control de Calidad se indican las características, métodos de ensayo y condiciones de aceptación o rechazo de los materiales empleados en la obra de relleno de vaguada en </w:t>
      </w:r>
      <w:r w:rsidR="006D41F7">
        <w:t>Hondarribia</w:t>
      </w:r>
      <w:r>
        <w:t>, no haciéndose referencia al seguimiento de la puesta en obra de las distintas unidades, cuyas condiciones de aceptación o rechazo se indican en el Pliego Particular de Prescripciones de la obra.</w:t>
      </w:r>
    </w:p>
    <w:p w:rsidR="00A44F63" w:rsidRDefault="00A44F63" w:rsidP="00A44F63">
      <w:r>
        <w:t>La Dirección de Obra, durante el transcurso de la misma, podrá modificar según su criterio, ampliando o reduciendo, los diferentes capítulos de control. Del mismo modo, siempre que se indique con la suficiente antelación, podrá variar los criterios de aceptación o rechazo de los materiales.</w:t>
      </w:r>
    </w:p>
    <w:p w:rsidR="00A44F63" w:rsidRDefault="00A44F63" w:rsidP="00A44F63">
      <w:r>
        <w:t>Cuando existan discrepancias entre los contenidos del presente Programa de Control y las especificaciones del Pliego de Prescripciones Particulares de la obra, se tomará como referencia este último documento.</w:t>
      </w:r>
    </w:p>
    <w:p w:rsidR="00A44F63" w:rsidRDefault="00A44F63" w:rsidP="00A44F63">
      <w:pPr>
        <w:pStyle w:val="Ttulo2"/>
        <w:spacing w:before="200" w:line="240" w:lineRule="auto"/>
      </w:pPr>
      <w:bookmarkStart w:id="7" w:name="_Toc517366231"/>
      <w:bookmarkStart w:id="8" w:name="_Toc536531062"/>
      <w:r>
        <w:t>NORMATIVA APLICADA</w:t>
      </w:r>
      <w:bookmarkEnd w:id="7"/>
      <w:bookmarkEnd w:id="8"/>
    </w:p>
    <w:p w:rsidR="00A44F63" w:rsidRDefault="00A44F63" w:rsidP="00A44F63">
      <w:pPr>
        <w:pStyle w:val="Prrafodelista"/>
        <w:numPr>
          <w:ilvl w:val="0"/>
          <w:numId w:val="5"/>
        </w:numPr>
        <w:spacing w:line="240" w:lineRule="auto"/>
      </w:pPr>
      <w:r>
        <w:t>Pliego de Condiciones Generales para la contratación de obras públicas del 13 de Marzo de 1.973 y modificaciones posteriores.</w:t>
      </w:r>
    </w:p>
    <w:p w:rsidR="00A44F63" w:rsidRDefault="00A44F63" w:rsidP="00A44F63">
      <w:pPr>
        <w:pStyle w:val="Prrafodelista"/>
        <w:numPr>
          <w:ilvl w:val="0"/>
          <w:numId w:val="5"/>
        </w:numPr>
        <w:spacing w:line="240" w:lineRule="auto"/>
      </w:pPr>
      <w:r>
        <w:t>Pliego de Prescripciones Técnicas Generales para obras de carreteras y puentes (P.G. 4 de 21 de Enero de 1.988).</w:t>
      </w:r>
    </w:p>
    <w:p w:rsidR="00A44F63" w:rsidRDefault="00A44F63" w:rsidP="00A44F63">
      <w:pPr>
        <w:pStyle w:val="Prrafodelista"/>
        <w:numPr>
          <w:ilvl w:val="0"/>
          <w:numId w:val="5"/>
        </w:numPr>
        <w:spacing w:line="240" w:lineRule="auto"/>
      </w:pPr>
      <w:r>
        <w:t>Instrucción para el proyecto y ejecución de obras de hormigón en masa o armado (EHE-08).</w:t>
      </w:r>
    </w:p>
    <w:p w:rsidR="00A44F63" w:rsidRDefault="00A44F63" w:rsidP="00A44F63">
      <w:pPr>
        <w:pStyle w:val="Prrafodelista"/>
        <w:numPr>
          <w:ilvl w:val="0"/>
          <w:numId w:val="5"/>
        </w:numPr>
        <w:spacing w:line="240" w:lineRule="auto"/>
      </w:pPr>
      <w:r>
        <w:t>Instrucción para la recepción de cementos (RC-08).</w:t>
      </w:r>
    </w:p>
    <w:p w:rsidR="00A44F63" w:rsidRDefault="00A44F63" w:rsidP="00A44F63">
      <w:pPr>
        <w:pStyle w:val="Prrafodelista"/>
        <w:numPr>
          <w:ilvl w:val="0"/>
          <w:numId w:val="5"/>
        </w:numPr>
        <w:spacing w:line="240" w:lineRule="auto"/>
      </w:pPr>
      <w:r>
        <w:t>Normas básicas de instalaciones de suministro de agua (NIA).</w:t>
      </w:r>
    </w:p>
    <w:p w:rsidR="00A44F63" w:rsidRDefault="00A44F63" w:rsidP="00A44F63">
      <w:pPr>
        <w:pStyle w:val="Prrafodelista"/>
        <w:numPr>
          <w:ilvl w:val="0"/>
          <w:numId w:val="5"/>
        </w:numPr>
        <w:spacing w:line="240" w:lineRule="auto"/>
      </w:pPr>
      <w:r>
        <w:t>El Código Técnico de la Edificación (CTE) es el marco normativo que establece la exigencias que deben cumplir los edificios en relación con los requisitos básicos de seguridad y habitabilidad establecidos en la Ley 38/1999 de 5 de noviembre de Ordenación de la Edificación (LOE).</w:t>
      </w:r>
    </w:p>
    <w:p w:rsidR="00A44F63" w:rsidRDefault="00A44F63" w:rsidP="00A44F63">
      <w:pPr>
        <w:pStyle w:val="Prrafodelista"/>
        <w:numPr>
          <w:ilvl w:val="0"/>
          <w:numId w:val="5"/>
        </w:numPr>
        <w:spacing w:line="240" w:lineRule="auto"/>
      </w:pPr>
      <w:r>
        <w:t>Instrucción de normas UNE de aplicación en el Ministerio de Obras Públicas y Urbanismo.</w:t>
      </w:r>
    </w:p>
    <w:p w:rsidR="00A44F63" w:rsidRDefault="00A44F63" w:rsidP="00A44F63">
      <w:pPr>
        <w:pStyle w:val="Prrafodelista"/>
        <w:numPr>
          <w:ilvl w:val="0"/>
          <w:numId w:val="5"/>
        </w:numPr>
        <w:spacing w:line="240" w:lineRule="auto"/>
      </w:pPr>
      <w:r>
        <w:t>Normas de ensayo del Laboratorio Central de Materiales del Ministerio de Obras Públicas y Urbanismo.</w:t>
      </w:r>
    </w:p>
    <w:p w:rsidR="00A44F63" w:rsidRDefault="00A44F63" w:rsidP="00A44F63">
      <w:pPr>
        <w:pStyle w:val="Prrafodelista"/>
        <w:numPr>
          <w:ilvl w:val="0"/>
          <w:numId w:val="5"/>
        </w:numPr>
        <w:spacing w:line="240" w:lineRule="auto"/>
      </w:pPr>
      <w:r>
        <w:t>Normas de ensayo del Laboratorio de Transporte (Madrid).</w:t>
      </w:r>
    </w:p>
    <w:p w:rsidR="00A44F63" w:rsidRDefault="00A44F63" w:rsidP="00A44F63">
      <w:pPr>
        <w:pStyle w:val="Prrafodelista"/>
        <w:numPr>
          <w:ilvl w:val="0"/>
          <w:numId w:val="5"/>
        </w:numPr>
        <w:spacing w:line="240" w:lineRule="auto"/>
      </w:pPr>
      <w:r>
        <w:t>Pliego PG-3.</w:t>
      </w:r>
    </w:p>
    <w:p w:rsidR="00A44F63" w:rsidRDefault="00A44F63" w:rsidP="00A44F63">
      <w:pPr>
        <w:pStyle w:val="Prrafodelista"/>
        <w:numPr>
          <w:ilvl w:val="0"/>
          <w:numId w:val="5"/>
        </w:numPr>
        <w:spacing w:line="240" w:lineRule="auto"/>
      </w:pPr>
      <w:r>
        <w:t>Normas UNE de metodología de ensayos y de características de los materiales que se citan.</w:t>
      </w:r>
    </w:p>
    <w:p w:rsidR="00A44F63" w:rsidRDefault="00A44F63" w:rsidP="00A44F63">
      <w:pPr>
        <w:pStyle w:val="Prrafodelista"/>
        <w:numPr>
          <w:ilvl w:val="0"/>
          <w:numId w:val="5"/>
        </w:numPr>
        <w:spacing w:line="240" w:lineRule="auto"/>
      </w:pPr>
      <w:r>
        <w:t>Normas NLT de metodología de ensayos y de características de los materiales que se citan</w:t>
      </w:r>
    </w:p>
    <w:p w:rsidR="00A44F63" w:rsidRDefault="00A44F63" w:rsidP="00A44F63">
      <w:pPr>
        <w:pStyle w:val="Prrafodelista"/>
        <w:numPr>
          <w:ilvl w:val="0"/>
          <w:numId w:val="5"/>
        </w:numPr>
        <w:spacing w:line="240" w:lineRule="auto"/>
      </w:pPr>
      <w:r>
        <w:t>En general cuantas prescripciones figuren en los Reglamentos, Normas e Instrucciones oficiales que guarden relación con las obras del presente Proyecto.</w:t>
      </w:r>
    </w:p>
    <w:p w:rsidR="00A44F63" w:rsidRDefault="00A44F63" w:rsidP="00A44F63">
      <w:pPr>
        <w:pStyle w:val="Ttulo1"/>
        <w:spacing w:before="240" w:line="240" w:lineRule="auto"/>
      </w:pPr>
      <w:bookmarkStart w:id="9" w:name="_Toc517366232"/>
      <w:bookmarkStart w:id="10" w:name="_Toc536531063"/>
      <w:r>
        <w:lastRenderedPageBreak/>
        <w:t>CONTROL DE MATERIALES</w:t>
      </w:r>
      <w:bookmarkEnd w:id="9"/>
      <w:bookmarkEnd w:id="10"/>
    </w:p>
    <w:p w:rsidR="00A44F63" w:rsidRDefault="00A44F63" w:rsidP="00A44F63">
      <w:pPr>
        <w:pStyle w:val="Ttulo2"/>
        <w:spacing w:before="200" w:line="240" w:lineRule="auto"/>
      </w:pPr>
      <w:bookmarkStart w:id="11" w:name="_Toc500235028"/>
      <w:bookmarkStart w:id="12" w:name="_Toc517366233"/>
      <w:bookmarkStart w:id="13" w:name="_Toc536531064"/>
      <w:r>
        <w:t>AGUAS DE AMASADO Y CURADO PARA HORMIGONES</w:t>
      </w:r>
      <w:bookmarkEnd w:id="11"/>
      <w:bookmarkEnd w:id="12"/>
      <w:bookmarkEnd w:id="13"/>
    </w:p>
    <w:p w:rsidR="00A44F63" w:rsidRDefault="00A44F63" w:rsidP="00A44F63">
      <w:pPr>
        <w:pStyle w:val="Ttulo3"/>
        <w:spacing w:before="200" w:line="240" w:lineRule="auto"/>
      </w:pPr>
      <w:r>
        <w:t>Características técnicas</w:t>
      </w:r>
    </w:p>
    <w:p w:rsidR="00A44F63" w:rsidRDefault="00A44F63" w:rsidP="00A44F63">
      <w:r>
        <w:t>Las características de las aguas que se vayan a emplear en el amasado y curado del hormigón están indicadas en el Artículo 27º de la Instrucción EHE-08.</w:t>
      </w:r>
    </w:p>
    <w:p w:rsidR="00A44F63" w:rsidRDefault="00A44F63" w:rsidP="00A44F63">
      <w:pPr>
        <w:pStyle w:val="Ttulo3"/>
        <w:spacing w:before="200" w:line="240" w:lineRule="auto"/>
      </w:pPr>
      <w:r>
        <w:t>Toma de muestras</w:t>
      </w:r>
    </w:p>
    <w:p w:rsidR="00A44F63" w:rsidRDefault="00A44F63" w:rsidP="00A44F63">
      <w:r>
        <w:t>Cuando se deban efectuar ensayos de recepción o control de las aguas de amasado o curado, la toma de muestras se realizará según la Norma UNE 7 236 (71). Sobre las aguas de amasado o curado del hormigón, se determinarán las siguientes características según las normas de ensayo que se especifican.</w:t>
      </w:r>
    </w:p>
    <w:p w:rsidR="00A44F63" w:rsidRDefault="00A44F63" w:rsidP="00A44F63">
      <w:pPr>
        <w:pStyle w:val="Prrafodelista"/>
        <w:numPr>
          <w:ilvl w:val="0"/>
          <w:numId w:val="6"/>
        </w:numPr>
        <w:spacing w:line="240" w:lineRule="auto"/>
      </w:pPr>
      <w:r>
        <w:t>Exponente de hidrógeno (pH), según UNE 7 234 (71)</w:t>
      </w:r>
    </w:p>
    <w:p w:rsidR="00A44F63" w:rsidRDefault="00A44F63" w:rsidP="00A44F63">
      <w:pPr>
        <w:pStyle w:val="Prrafodelista"/>
        <w:numPr>
          <w:ilvl w:val="0"/>
          <w:numId w:val="6"/>
        </w:numPr>
        <w:spacing w:line="240" w:lineRule="auto"/>
      </w:pPr>
      <w:r>
        <w:t>Sustancias disueltas, según UNE 7 130 (58)</w:t>
      </w:r>
    </w:p>
    <w:p w:rsidR="00A44F63" w:rsidRDefault="00A44F63" w:rsidP="00A44F63">
      <w:pPr>
        <w:pStyle w:val="Prrafodelista"/>
        <w:numPr>
          <w:ilvl w:val="0"/>
          <w:numId w:val="6"/>
        </w:numPr>
        <w:spacing w:line="240" w:lineRule="auto"/>
      </w:pPr>
      <w:r>
        <w:t>Sulfatos expresados en SO4=, según UNE 7 131 (58)</w:t>
      </w:r>
    </w:p>
    <w:p w:rsidR="00A44F63" w:rsidRDefault="00A44F63" w:rsidP="00A44F63">
      <w:pPr>
        <w:pStyle w:val="Prrafodelista"/>
        <w:numPr>
          <w:ilvl w:val="0"/>
          <w:numId w:val="6"/>
        </w:numPr>
        <w:spacing w:line="240" w:lineRule="auto"/>
      </w:pPr>
      <w:r>
        <w:t>Ion cloro (Cl-), según UNE 7 178 (60)</w:t>
      </w:r>
    </w:p>
    <w:p w:rsidR="00A44F63" w:rsidRDefault="00A44F63" w:rsidP="00A44F63">
      <w:pPr>
        <w:pStyle w:val="Prrafodelista"/>
        <w:numPr>
          <w:ilvl w:val="0"/>
          <w:numId w:val="6"/>
        </w:numPr>
        <w:spacing w:line="240" w:lineRule="auto"/>
      </w:pPr>
      <w:r>
        <w:t>Hidratos de carbono, según UNE 7 132 (58)</w:t>
      </w:r>
    </w:p>
    <w:p w:rsidR="00A44F63" w:rsidRDefault="00A44F63" w:rsidP="00A44F63">
      <w:pPr>
        <w:pStyle w:val="Prrafodelista"/>
        <w:numPr>
          <w:ilvl w:val="0"/>
          <w:numId w:val="6"/>
        </w:numPr>
        <w:spacing w:line="240" w:lineRule="auto"/>
      </w:pPr>
      <w:r>
        <w:t>Sustancias orgánicas solubles en éter, según UNE 7 235 (71)</w:t>
      </w:r>
    </w:p>
    <w:p w:rsidR="00A44F63" w:rsidRPr="00EC7BDC" w:rsidRDefault="00A44F63" w:rsidP="00A44F63">
      <w:pPr>
        <w:pStyle w:val="Ttulo3"/>
        <w:spacing w:before="200" w:line="240" w:lineRule="auto"/>
      </w:pPr>
      <w:r>
        <w:t>Periodicidad del control</w:t>
      </w:r>
    </w:p>
    <w:p w:rsidR="00A44F63" w:rsidRDefault="00A44F63" w:rsidP="00A44F63">
      <w:r>
        <w:t>Antes de comenzar la obra, si no se tienen antecedentes del agua que vaya a utilizarse, si varían las condiciones de suministro y cuando lo indique el Director de Obra, se realizarán los ensayos citados en el apartado anterior.</w:t>
      </w:r>
    </w:p>
    <w:p w:rsidR="00A44F63" w:rsidRDefault="00A44F63" w:rsidP="00A44F63">
      <w:pPr>
        <w:pStyle w:val="Ttulo3"/>
        <w:spacing w:before="200" w:line="240" w:lineRule="auto"/>
      </w:pPr>
      <w:r>
        <w:t>Exención de ensayos</w:t>
      </w:r>
    </w:p>
    <w:p w:rsidR="00A44F63" w:rsidRDefault="00A44F63" w:rsidP="00A44F63">
      <w:r>
        <w:t>No será necesaria la ejecución de los ensayos de recepción o control cuando se de alguna de las siguientes condiciones:</w:t>
      </w:r>
    </w:p>
    <w:p w:rsidR="00A44F63" w:rsidRDefault="00A44F63" w:rsidP="00A44F63">
      <w:pPr>
        <w:pStyle w:val="Prrafodelista"/>
        <w:numPr>
          <w:ilvl w:val="0"/>
          <w:numId w:val="7"/>
        </w:numPr>
        <w:spacing w:line="240" w:lineRule="auto"/>
      </w:pPr>
      <w:r>
        <w:t>El agua procede de la red pública.</w:t>
      </w:r>
    </w:p>
    <w:p w:rsidR="00A44F63" w:rsidRDefault="00A44F63" w:rsidP="00A44F63">
      <w:pPr>
        <w:pStyle w:val="Prrafodelista"/>
        <w:numPr>
          <w:ilvl w:val="0"/>
          <w:numId w:val="7"/>
        </w:numPr>
        <w:spacing w:line="240" w:lineRule="auto"/>
      </w:pPr>
      <w:r>
        <w:t>Existe un informe de ensayos, realizado por un Laboratorio Acreditado, elaborado con posterioridad a los tres meses anteriores a la fecha del inicio del hormigonado.</w:t>
      </w:r>
    </w:p>
    <w:p w:rsidR="00A44F63" w:rsidRDefault="00A44F63" w:rsidP="00A44F63">
      <w:pPr>
        <w:pStyle w:val="Prrafodelista"/>
        <w:numPr>
          <w:ilvl w:val="0"/>
          <w:numId w:val="7"/>
        </w:numPr>
        <w:spacing w:line="240" w:lineRule="auto"/>
      </w:pPr>
      <w:r>
        <w:t>El Director de Obra considera sancionada por la práctica el empleo del agua.</w:t>
      </w:r>
    </w:p>
    <w:p w:rsidR="00A44F63" w:rsidRDefault="00A44F63" w:rsidP="00A44F63">
      <w:pPr>
        <w:pStyle w:val="Ttulo3"/>
        <w:spacing w:before="200" w:line="240" w:lineRule="auto"/>
      </w:pPr>
      <w:r>
        <w:t>Documentación</w:t>
      </w:r>
    </w:p>
    <w:p w:rsidR="00A44F63" w:rsidRDefault="00A44F63" w:rsidP="00A44F63">
      <w:r>
        <w:t>El Contratista aportará uno de los siguientes documentos cuando quiera eximir de ensayos al agua de amasado o curado, los cuales deberán ser aceptados por el Director de Obra.</w:t>
      </w:r>
    </w:p>
    <w:p w:rsidR="00A44F63" w:rsidRDefault="00A44F63" w:rsidP="00A44F63">
      <w:pPr>
        <w:pStyle w:val="Prrafodelista"/>
        <w:numPr>
          <w:ilvl w:val="0"/>
          <w:numId w:val="8"/>
        </w:numPr>
        <w:spacing w:line="240" w:lineRule="auto"/>
      </w:pPr>
      <w:r>
        <w:t>Cuando el agua de amasado y/o de curado procede de la red pública: certificado del suministrador o del contratista que indique dicha procedencia.</w:t>
      </w:r>
    </w:p>
    <w:p w:rsidR="00A44F63" w:rsidRDefault="00A44F63" w:rsidP="00A44F63">
      <w:pPr>
        <w:pStyle w:val="Prrafodelista"/>
        <w:numPr>
          <w:ilvl w:val="0"/>
          <w:numId w:val="8"/>
        </w:numPr>
        <w:spacing w:line="240" w:lineRule="auto"/>
      </w:pPr>
      <w:r>
        <w:t>Informe de ensayos del agua de amasado y/o curado, realizado por un Laboratorio Acreditado y elaborado con posterioridad a los tres meses anteriores a la fecha del inicio del hormigonado.</w:t>
      </w:r>
    </w:p>
    <w:p w:rsidR="00A44F63" w:rsidRDefault="00A44F63" w:rsidP="00A44F63">
      <w:pPr>
        <w:pStyle w:val="Ttulo3"/>
        <w:spacing w:before="200" w:line="240" w:lineRule="auto"/>
      </w:pPr>
      <w:r>
        <w:lastRenderedPageBreak/>
        <w:t>Criterios de aceptación o rechazo</w:t>
      </w:r>
    </w:p>
    <w:p w:rsidR="00A44F63" w:rsidRDefault="00A44F63" w:rsidP="00A44F63">
      <w:r>
        <w:t>El no cumplimiento de las especificaciones será razón suficiente para considerar el agua como no apta para amasar hormigón, salvo justificación especial de que no altera perjudicialmente las propiedades exigibles al mismo, ni a corto ni a largo plazo.</w:t>
      </w:r>
    </w:p>
    <w:p w:rsidR="00A44F63" w:rsidRDefault="00A44F63" w:rsidP="00A44F63">
      <w:pPr>
        <w:pStyle w:val="Ttulo2"/>
        <w:spacing w:before="200" w:line="240" w:lineRule="auto"/>
      </w:pPr>
      <w:bookmarkStart w:id="14" w:name="_Toc500235029"/>
      <w:bookmarkStart w:id="15" w:name="_Toc517366234"/>
      <w:bookmarkStart w:id="16" w:name="_Toc536531065"/>
      <w:r>
        <w:t>ÁRIDOS PARA LA FABRICACIÓN DE HORMIGONES</w:t>
      </w:r>
      <w:bookmarkEnd w:id="14"/>
      <w:bookmarkEnd w:id="15"/>
      <w:bookmarkEnd w:id="16"/>
    </w:p>
    <w:p w:rsidR="00A44F63" w:rsidRDefault="00A44F63" w:rsidP="00A44F63">
      <w:pPr>
        <w:pStyle w:val="Ttulo3"/>
        <w:spacing w:before="200" w:line="240" w:lineRule="auto"/>
      </w:pPr>
      <w:r>
        <w:t>Características técnicas</w:t>
      </w:r>
    </w:p>
    <w:p w:rsidR="00A44F63" w:rsidRDefault="00A44F63" w:rsidP="00A44F63">
      <w:r>
        <w:t>Las características de los áridos que se vayan a emplear en la fabricación de hormigón están indicadas en el artículo 28º de la Instrucción EHE.</w:t>
      </w:r>
    </w:p>
    <w:p w:rsidR="00A44F63" w:rsidRDefault="00A44F63" w:rsidP="00A44F63">
      <w:pPr>
        <w:pStyle w:val="Ttulo3"/>
        <w:spacing w:before="200" w:line="240" w:lineRule="auto"/>
      </w:pPr>
      <w:r>
        <w:t>Toma de muestras</w:t>
      </w:r>
    </w:p>
    <w:p w:rsidR="00A44F63" w:rsidRDefault="00A44F63" w:rsidP="00A44F63">
      <w:r>
        <w:t>Cuando se deban efectuar los ensayos de recepción o control de los áridos empleados en la fabricación del hormigón, la toma de muestras se realizará según la Norma UNE 83 109/85.</w:t>
      </w:r>
    </w:p>
    <w:p w:rsidR="00A44F63" w:rsidRDefault="00A44F63" w:rsidP="00A44F63">
      <w:pPr>
        <w:pStyle w:val="Ttulo3"/>
        <w:spacing w:before="200" w:line="240" w:lineRule="auto"/>
      </w:pPr>
      <w:r>
        <w:t>Ensayos de control</w:t>
      </w:r>
    </w:p>
    <w:p w:rsidR="00A44F63" w:rsidRDefault="00A44F63" w:rsidP="00A44F63">
      <w:r>
        <w:t>Cuando se deba determinar la idoneidad de los áridos para su empleo en la fabricación de hormigón, se determinarán las siguientes características según las normas de ensayo que se especifican.</w:t>
      </w:r>
    </w:p>
    <w:p w:rsidR="00A44F63" w:rsidRDefault="00A44F63" w:rsidP="00A44F63">
      <w:r>
        <w:t>Ensayos comunes para la arena y la grava:</w:t>
      </w:r>
    </w:p>
    <w:p w:rsidR="00A44F63" w:rsidRDefault="00A44F63" w:rsidP="00A44F63">
      <w:pPr>
        <w:pStyle w:val="Prrafodelista"/>
        <w:numPr>
          <w:ilvl w:val="0"/>
          <w:numId w:val="9"/>
        </w:numPr>
        <w:spacing w:line="240" w:lineRule="auto"/>
      </w:pPr>
      <w:r>
        <w:t>Análisis granulométrico, según EN 933-1(97)</w:t>
      </w:r>
    </w:p>
    <w:p w:rsidR="00A44F63" w:rsidRDefault="00A44F63" w:rsidP="00A44F63">
      <w:pPr>
        <w:pStyle w:val="Prrafodelista"/>
        <w:numPr>
          <w:ilvl w:val="0"/>
          <w:numId w:val="9"/>
        </w:numPr>
        <w:spacing w:line="240" w:lineRule="auto"/>
      </w:pPr>
      <w:r>
        <w:t>Contenido de finos que pasa por el tamiz UNE 0,063 mm, según EN 933-1(97)</w:t>
      </w:r>
    </w:p>
    <w:p w:rsidR="00A44F63" w:rsidRDefault="00A44F63" w:rsidP="00A44F63">
      <w:pPr>
        <w:pStyle w:val="Prrafodelista"/>
        <w:numPr>
          <w:ilvl w:val="0"/>
          <w:numId w:val="9"/>
        </w:numPr>
        <w:spacing w:line="240" w:lineRule="auto"/>
      </w:pPr>
      <w:r>
        <w:t>Terrones de arcilla, según UNE 7 133 (58)</w:t>
      </w:r>
    </w:p>
    <w:p w:rsidR="00A44F63" w:rsidRDefault="00A44F63" w:rsidP="00A44F63">
      <w:pPr>
        <w:pStyle w:val="Prrafodelista"/>
        <w:numPr>
          <w:ilvl w:val="0"/>
          <w:numId w:val="9"/>
        </w:numPr>
        <w:spacing w:line="240" w:lineRule="auto"/>
      </w:pPr>
      <w:r>
        <w:t>Determinación de partículas de bajo peso específico, según UNE 7 244 (71)</w:t>
      </w:r>
    </w:p>
    <w:p w:rsidR="00A44F63" w:rsidRDefault="00A44F63" w:rsidP="00A44F63">
      <w:pPr>
        <w:pStyle w:val="Prrafodelista"/>
        <w:numPr>
          <w:ilvl w:val="0"/>
          <w:numId w:val="9"/>
        </w:numPr>
        <w:spacing w:line="240" w:lineRule="auto"/>
      </w:pPr>
      <w:r>
        <w:t>Compuestos de azufre expresados en SO3= y referidos al árido seco, según UNE EN 1744-1(99)</w:t>
      </w:r>
    </w:p>
    <w:p w:rsidR="00A44F63" w:rsidRDefault="00A44F63" w:rsidP="00A44F63">
      <w:pPr>
        <w:pStyle w:val="Prrafodelista"/>
        <w:numPr>
          <w:ilvl w:val="0"/>
          <w:numId w:val="9"/>
        </w:numPr>
        <w:spacing w:line="240" w:lineRule="auto"/>
      </w:pPr>
      <w:r>
        <w:t>Reactividad potencial con los álcalis del cemento, según UNE 146507(99)</w:t>
      </w:r>
    </w:p>
    <w:p w:rsidR="00A44F63" w:rsidRDefault="00A44F63" w:rsidP="00A44F63">
      <w:pPr>
        <w:pStyle w:val="Prrafodelista"/>
        <w:numPr>
          <w:ilvl w:val="0"/>
          <w:numId w:val="9"/>
        </w:numPr>
        <w:spacing w:line="240" w:lineRule="auto"/>
      </w:pPr>
      <w:r>
        <w:t>Estabilidad frente a disoluciones de sulfato magnésico, según UNE EN 1367(99)</w:t>
      </w:r>
    </w:p>
    <w:p w:rsidR="00A44F63" w:rsidRDefault="00A44F63" w:rsidP="00A44F63">
      <w:pPr>
        <w:pStyle w:val="Prrafodelista"/>
        <w:numPr>
          <w:ilvl w:val="0"/>
          <w:numId w:val="9"/>
        </w:numPr>
        <w:spacing w:line="240" w:lineRule="auto"/>
      </w:pPr>
      <w:r>
        <w:t>Determinación cuantitativa de cloruros, según UNE EN 1744-1(99)</w:t>
      </w:r>
    </w:p>
    <w:p w:rsidR="00A44F63" w:rsidRDefault="00A44F63" w:rsidP="00A44F63">
      <w:r>
        <w:t>Ensayos específicos para la arena</w:t>
      </w:r>
    </w:p>
    <w:p w:rsidR="00A44F63" w:rsidRDefault="00A44F63" w:rsidP="00A44F63">
      <w:pPr>
        <w:pStyle w:val="Prrafodelista"/>
        <w:numPr>
          <w:ilvl w:val="0"/>
          <w:numId w:val="9"/>
        </w:numPr>
        <w:spacing w:line="240" w:lineRule="auto"/>
      </w:pPr>
      <w:r>
        <w:t>Determinación de la materia orgánica, según UNE EN 1744-1(99)</w:t>
      </w:r>
    </w:p>
    <w:p w:rsidR="00A44F63" w:rsidRDefault="00A44F63" w:rsidP="00A44F63">
      <w:pPr>
        <w:pStyle w:val="Prrafodelista"/>
        <w:numPr>
          <w:ilvl w:val="0"/>
          <w:numId w:val="9"/>
        </w:numPr>
        <w:spacing w:line="240" w:lineRule="auto"/>
      </w:pPr>
      <w:r>
        <w:t>Determinación de la friabilidad de la arena, según UNE EN 1097-1(99)</w:t>
      </w:r>
    </w:p>
    <w:p w:rsidR="00A44F63" w:rsidRDefault="00A44F63" w:rsidP="00A44F63">
      <w:pPr>
        <w:pStyle w:val="Prrafodelista"/>
        <w:numPr>
          <w:ilvl w:val="0"/>
          <w:numId w:val="9"/>
        </w:numPr>
        <w:spacing w:line="240" w:lineRule="auto"/>
      </w:pPr>
      <w:r>
        <w:t>Determinación de la absorción de agua, según UNE 83 133/90</w:t>
      </w:r>
    </w:p>
    <w:p w:rsidR="00A44F63" w:rsidRDefault="00A44F63" w:rsidP="00A44F63">
      <w:pPr>
        <w:pStyle w:val="Prrafodelista"/>
        <w:numPr>
          <w:ilvl w:val="0"/>
          <w:numId w:val="9"/>
        </w:numPr>
        <w:spacing w:line="240" w:lineRule="auto"/>
      </w:pPr>
      <w:r>
        <w:t>Determinación del equivalente de arena, según UNE 83 131/90</w:t>
      </w:r>
    </w:p>
    <w:p w:rsidR="00A44F63" w:rsidRDefault="00A44F63" w:rsidP="00A44F63">
      <w:pPr>
        <w:pStyle w:val="Prrafodelista"/>
        <w:numPr>
          <w:ilvl w:val="0"/>
          <w:numId w:val="9"/>
        </w:numPr>
        <w:spacing w:line="240" w:lineRule="auto"/>
      </w:pPr>
      <w:r>
        <w:t>Determinación del azul de metileno para arenas calizas, según UNE EN 933-9(99)</w:t>
      </w:r>
    </w:p>
    <w:p w:rsidR="00A44F63" w:rsidRDefault="00A44F63" w:rsidP="00A44F63">
      <w:pPr>
        <w:pStyle w:val="Prrafodelista"/>
        <w:numPr>
          <w:ilvl w:val="0"/>
          <w:numId w:val="9"/>
        </w:numPr>
        <w:spacing w:line="240" w:lineRule="auto"/>
      </w:pPr>
      <w:r>
        <w:t>Determinación del % de CaCO4 en áridos calizos, según UNE 103 200/93</w:t>
      </w:r>
    </w:p>
    <w:p w:rsidR="00A44F63" w:rsidRDefault="00A44F63" w:rsidP="00A44F63">
      <w:r>
        <w:t>Ensayos específicos de gravas</w:t>
      </w:r>
    </w:p>
    <w:p w:rsidR="00A44F63" w:rsidRDefault="00A44F63" w:rsidP="00A44F63">
      <w:pPr>
        <w:pStyle w:val="Prrafodelista"/>
        <w:numPr>
          <w:ilvl w:val="0"/>
          <w:numId w:val="9"/>
        </w:numPr>
        <w:spacing w:line="240" w:lineRule="auto"/>
      </w:pPr>
      <w:r>
        <w:t>Determinación de partículas blandas, según UNE 7 134 (58)</w:t>
      </w:r>
    </w:p>
    <w:p w:rsidR="00A44F63" w:rsidRDefault="00A44F63" w:rsidP="00A44F63">
      <w:pPr>
        <w:pStyle w:val="Prrafodelista"/>
        <w:numPr>
          <w:ilvl w:val="0"/>
          <w:numId w:val="9"/>
        </w:numPr>
        <w:spacing w:line="240" w:lineRule="auto"/>
      </w:pPr>
      <w:r>
        <w:t>Determinación del coeficiente de forma, según UNE 7 238 (71)</w:t>
      </w:r>
    </w:p>
    <w:p w:rsidR="00A44F63" w:rsidRDefault="00A44F63" w:rsidP="00A44F63">
      <w:pPr>
        <w:pStyle w:val="Prrafodelista"/>
        <w:numPr>
          <w:ilvl w:val="0"/>
          <w:numId w:val="9"/>
        </w:numPr>
        <w:spacing w:line="240" w:lineRule="auto"/>
      </w:pPr>
      <w:r>
        <w:t>Determinación de la absorción de agua, según UNE 83 134/90</w:t>
      </w:r>
    </w:p>
    <w:p w:rsidR="00A44F63" w:rsidRDefault="00A44F63" w:rsidP="00A44F63">
      <w:pPr>
        <w:pStyle w:val="Prrafodelista"/>
        <w:numPr>
          <w:ilvl w:val="0"/>
          <w:numId w:val="9"/>
        </w:numPr>
        <w:spacing w:line="240" w:lineRule="auto"/>
      </w:pPr>
      <w:r>
        <w:t>Determinación de la resistencia al desgaste Los Ángeles, según UNE 1097-2(99)</w:t>
      </w:r>
    </w:p>
    <w:p w:rsidR="00A44F63" w:rsidRDefault="00A44F63" w:rsidP="00A44F63">
      <w:pPr>
        <w:pStyle w:val="Prrafodelista"/>
        <w:numPr>
          <w:ilvl w:val="0"/>
          <w:numId w:val="9"/>
        </w:numPr>
        <w:spacing w:line="240" w:lineRule="auto"/>
      </w:pPr>
      <w:r>
        <w:t>Determinación del índice de lajas, según UNE EN 933-3(99)</w:t>
      </w:r>
    </w:p>
    <w:p w:rsidR="00A44F63" w:rsidRDefault="00A44F63" w:rsidP="00A44F63">
      <w:pPr>
        <w:pStyle w:val="Ttulo3"/>
        <w:spacing w:before="200" w:line="240" w:lineRule="auto"/>
      </w:pPr>
      <w:r>
        <w:lastRenderedPageBreak/>
        <w:t>Periodicidad de control</w:t>
      </w:r>
    </w:p>
    <w:p w:rsidR="00A44F63" w:rsidRDefault="00A44F63" w:rsidP="00A44F63">
      <w:r>
        <w:t>Antes de comenzar la obra, si no se tienen antecedentes de los mismos; si se varían las condiciones de suministro o se van a emplear para aplicaciones distintas a las sancionadas por la práctica; y siempre que lo indique el Director de Obra se realizarán los ensayos mencionados en el apartado anterior.</w:t>
      </w:r>
    </w:p>
    <w:p w:rsidR="00A44F63" w:rsidRDefault="00A44F63" w:rsidP="00A44F63">
      <w:pPr>
        <w:pStyle w:val="Ttulo3"/>
        <w:spacing w:before="200" w:line="240" w:lineRule="auto"/>
      </w:pPr>
      <w:r>
        <w:t>Exención de ensayos</w:t>
      </w:r>
    </w:p>
    <w:p w:rsidR="00A44F63" w:rsidRDefault="00A44F63" w:rsidP="00A44F63">
      <w:r>
        <w:t>No será necesaria la ejecución de los ensayos de recepción o control cuando se de alguna de las siguientes condiciones:</w:t>
      </w:r>
    </w:p>
    <w:p w:rsidR="00A44F63" w:rsidRDefault="00A44F63" w:rsidP="00A44F63">
      <w:pPr>
        <w:pStyle w:val="Prrafodelista"/>
        <w:numPr>
          <w:ilvl w:val="0"/>
          <w:numId w:val="10"/>
        </w:numPr>
        <w:spacing w:line="240" w:lineRule="auto"/>
      </w:pPr>
      <w:r>
        <w:t>Existe un informe de ensayos, realizado por un Laboratorio Acreditado, elaborado con posterioridad a los seis meses anteriores a la fecha de inicio del hormigonado o de cambio del suministro.</w:t>
      </w:r>
    </w:p>
    <w:p w:rsidR="00A44F63" w:rsidRDefault="00A44F63" w:rsidP="00A44F63">
      <w:pPr>
        <w:pStyle w:val="Prrafodelista"/>
        <w:numPr>
          <w:ilvl w:val="0"/>
          <w:numId w:val="10"/>
        </w:numPr>
        <w:spacing w:line="240" w:lineRule="auto"/>
      </w:pPr>
      <w:r>
        <w:t>El Director de Obra considera sancionado por la práctica el empleo de los áridos en la fabricación del hormigón.</w:t>
      </w:r>
    </w:p>
    <w:p w:rsidR="00A44F63" w:rsidRDefault="00A44F63" w:rsidP="00A44F63">
      <w:pPr>
        <w:pStyle w:val="Ttulo3"/>
        <w:spacing w:before="200" w:line="240" w:lineRule="auto"/>
      </w:pPr>
      <w:r>
        <w:t>Documentación</w:t>
      </w:r>
    </w:p>
    <w:p w:rsidR="00A44F63" w:rsidRDefault="00A44F63" w:rsidP="00A44F63">
      <w:r>
        <w:t>El contratista aportará la siguiente documentación cuando quiera eximir de ensayos a los áridos para la fabricación de hormigón, la cual deberá ser aceptada por el Director de Obra:</w:t>
      </w:r>
    </w:p>
    <w:p w:rsidR="00A44F63" w:rsidRDefault="00A44F63" w:rsidP="00A44F63">
      <w:r>
        <w:t>Informe de ensayos de los áridos, realizado por un Laboratorio Acreditado y elaborado con posterioridad a los seis meses anteriores a la fecha del inicio del hormigonado o del cambio de suministro.</w:t>
      </w:r>
    </w:p>
    <w:p w:rsidR="00A44F63" w:rsidRDefault="00A44F63" w:rsidP="00A44F63">
      <w:pPr>
        <w:pStyle w:val="Ttulo3"/>
        <w:spacing w:before="200" w:line="240" w:lineRule="auto"/>
      </w:pPr>
      <w:r>
        <w:t>Criterios de aceptación o rechazo</w:t>
      </w:r>
    </w:p>
    <w:p w:rsidR="00A44F63" w:rsidRDefault="00A44F63" w:rsidP="00A44F63">
      <w:r>
        <w:t>Las siguientes causas serán suficientes para calificar el árido como no apto para fabricar el hormigón, salvo justificación especial de que no altera perjudicialmente las propiedades exigibles al mismo, ni a corto ni a largo plazo.</w:t>
      </w:r>
    </w:p>
    <w:p w:rsidR="00A44F63" w:rsidRDefault="00A44F63" w:rsidP="00A44F63">
      <w:pPr>
        <w:pStyle w:val="Prrafodelista"/>
        <w:numPr>
          <w:ilvl w:val="0"/>
          <w:numId w:val="11"/>
        </w:numPr>
        <w:spacing w:line="240" w:lineRule="auto"/>
      </w:pPr>
      <w:r>
        <w:t>Áridos que contengan sulfuros oxidables.</w:t>
      </w:r>
    </w:p>
    <w:p w:rsidR="00A44F63" w:rsidRDefault="00A44F63" w:rsidP="00A44F63">
      <w:pPr>
        <w:pStyle w:val="Prrafodelista"/>
        <w:numPr>
          <w:ilvl w:val="0"/>
          <w:numId w:val="11"/>
        </w:numPr>
        <w:spacing w:line="240" w:lineRule="auto"/>
      </w:pPr>
      <w:r>
        <w:t>Escorias que contengan silicatos inestables o compuestos ferrosos.</w:t>
      </w:r>
    </w:p>
    <w:p w:rsidR="00A44F63" w:rsidRDefault="00A44F63" w:rsidP="00A44F63">
      <w:pPr>
        <w:pStyle w:val="Prrafodelista"/>
        <w:numPr>
          <w:ilvl w:val="0"/>
          <w:numId w:val="11"/>
        </w:numPr>
        <w:spacing w:line="240" w:lineRule="auto"/>
      </w:pPr>
      <w:r>
        <w:t>Áridos que no cumplan alguna de las limitaciones contempladas en el apartado 28 de la Instrucción EHE</w:t>
      </w:r>
    </w:p>
    <w:p w:rsidR="00A44F63" w:rsidRDefault="00A44F63" w:rsidP="00A44F63">
      <w:r>
        <w:t>El tamaño máximo del árido sea mayor que los límites indicados en el apartado 28.3 de la instrucción EHE.</w:t>
      </w:r>
    </w:p>
    <w:p w:rsidR="00A44F63" w:rsidRDefault="00A44F63" w:rsidP="00A44F63">
      <w:pPr>
        <w:pStyle w:val="Ttulo2"/>
        <w:spacing w:before="200" w:line="240" w:lineRule="auto"/>
      </w:pPr>
      <w:bookmarkStart w:id="17" w:name="_Toc500235030"/>
      <w:bookmarkStart w:id="18" w:name="_Toc517366235"/>
      <w:bookmarkStart w:id="19" w:name="_Toc536531066"/>
      <w:r>
        <w:t>CEMENTOS PARA LA FABRICACIÓN DE HORMIGONES</w:t>
      </w:r>
      <w:bookmarkEnd w:id="17"/>
      <w:bookmarkEnd w:id="18"/>
      <w:bookmarkEnd w:id="19"/>
    </w:p>
    <w:p w:rsidR="00A44F63" w:rsidRDefault="00A44F63" w:rsidP="00A44F63">
      <w:pPr>
        <w:pStyle w:val="Ttulo3"/>
        <w:spacing w:before="200" w:line="240" w:lineRule="auto"/>
      </w:pPr>
      <w:r>
        <w:t>Características técnicas</w:t>
      </w:r>
    </w:p>
    <w:p w:rsidR="00A44F63" w:rsidRDefault="00A44F63" w:rsidP="00A44F63">
      <w:r>
        <w:t>Las características de los cementos que se vayan a emplear en la fabricación de hormigones están indicadas en la Instrucción para la recepción de cementos (RC-08).</w:t>
      </w:r>
    </w:p>
    <w:p w:rsidR="00A44F63" w:rsidRDefault="00A44F63" w:rsidP="00A44F63">
      <w:pPr>
        <w:pStyle w:val="Ttulo3"/>
        <w:spacing w:before="200" w:line="240" w:lineRule="auto"/>
      </w:pPr>
      <w:r>
        <w:lastRenderedPageBreak/>
        <w:t>Toma de muestras</w:t>
      </w:r>
    </w:p>
    <w:p w:rsidR="00A44F63" w:rsidRDefault="00A44F63" w:rsidP="00A44F63">
      <w:r>
        <w:t>Cuando se deban efectuar los ensayos de recepción o control del cemento, la toma de muestras se realizará según la Norma UNE 80 401/91.</w:t>
      </w:r>
    </w:p>
    <w:p w:rsidR="00A44F63" w:rsidRDefault="00A44F63" w:rsidP="00A44F63">
      <w:pPr>
        <w:pStyle w:val="Ttulo3"/>
        <w:spacing w:before="200" w:line="240" w:lineRule="auto"/>
      </w:pPr>
      <w:r>
        <w:t>Ensayos de control</w:t>
      </w:r>
    </w:p>
    <w:p w:rsidR="00A44F63" w:rsidRDefault="00A44F63" w:rsidP="00A44F63">
      <w:pPr>
        <w:pStyle w:val="Prrafodelista"/>
        <w:numPr>
          <w:ilvl w:val="0"/>
          <w:numId w:val="13"/>
        </w:numPr>
        <w:spacing w:line="240" w:lineRule="auto"/>
      </w:pPr>
      <w:r>
        <w:t>Pérdida al fuego, según UNE EN 196-2 96</w:t>
      </w:r>
    </w:p>
    <w:p w:rsidR="00A44F63" w:rsidRDefault="00A44F63" w:rsidP="00A44F63">
      <w:pPr>
        <w:pStyle w:val="Prrafodelista"/>
        <w:numPr>
          <w:ilvl w:val="0"/>
          <w:numId w:val="13"/>
        </w:numPr>
        <w:spacing w:line="240" w:lineRule="auto"/>
      </w:pPr>
      <w:r>
        <w:t>Residuo insoluble, según UNE EN 196-2 96</w:t>
      </w:r>
    </w:p>
    <w:p w:rsidR="00A44F63" w:rsidRDefault="00A44F63" w:rsidP="00A44F63">
      <w:pPr>
        <w:pStyle w:val="Prrafodelista"/>
        <w:numPr>
          <w:ilvl w:val="0"/>
          <w:numId w:val="13"/>
        </w:numPr>
        <w:spacing w:line="240" w:lineRule="auto"/>
      </w:pPr>
      <w:r>
        <w:t>Trióxido de azufre, según UNE EN 196-2 96</w:t>
      </w:r>
    </w:p>
    <w:p w:rsidR="00A44F63" w:rsidRDefault="00A44F63" w:rsidP="00A44F63">
      <w:pPr>
        <w:pStyle w:val="Prrafodelista"/>
        <w:numPr>
          <w:ilvl w:val="0"/>
          <w:numId w:val="13"/>
        </w:numPr>
        <w:spacing w:line="240" w:lineRule="auto"/>
      </w:pPr>
      <w:r>
        <w:t>Determinación del contenido de cloruros, según UNE 80 217/91</w:t>
      </w:r>
    </w:p>
    <w:p w:rsidR="00A44F63" w:rsidRDefault="00A44F63" w:rsidP="00A44F63">
      <w:pPr>
        <w:pStyle w:val="Prrafodelista"/>
        <w:numPr>
          <w:ilvl w:val="0"/>
          <w:numId w:val="13"/>
        </w:numPr>
        <w:spacing w:line="240" w:lineRule="auto"/>
      </w:pPr>
      <w:r>
        <w:t>Determinación del contenido de sulfuros, según UNE EN 196-2 96</w:t>
      </w:r>
    </w:p>
    <w:p w:rsidR="00A44F63" w:rsidRDefault="00A44F63" w:rsidP="00A44F63">
      <w:pPr>
        <w:pStyle w:val="Prrafodelista"/>
        <w:numPr>
          <w:ilvl w:val="0"/>
          <w:numId w:val="13"/>
        </w:numPr>
        <w:spacing w:line="240" w:lineRule="auto"/>
      </w:pPr>
      <w:r>
        <w:t>Determinación del óxido de aluminio, según UNE 80 217 91</w:t>
      </w:r>
    </w:p>
    <w:p w:rsidR="00A44F63" w:rsidRDefault="00A44F63" w:rsidP="00A44F63">
      <w:pPr>
        <w:pStyle w:val="Prrafodelista"/>
        <w:numPr>
          <w:ilvl w:val="0"/>
          <w:numId w:val="13"/>
        </w:numPr>
        <w:spacing w:line="240" w:lineRule="auto"/>
      </w:pPr>
      <w:r>
        <w:t>Puzolanidad, Según UNE EN 196-5 96</w:t>
      </w:r>
    </w:p>
    <w:p w:rsidR="00A44F63" w:rsidRDefault="00A44F63" w:rsidP="00A44F63">
      <w:pPr>
        <w:pStyle w:val="Prrafodelista"/>
        <w:numPr>
          <w:ilvl w:val="0"/>
          <w:numId w:val="13"/>
        </w:numPr>
        <w:spacing w:line="240" w:lineRule="auto"/>
      </w:pPr>
      <w:r>
        <w:t>Determinación del principio y fin de fraguado, según UNE EN 196-3 96</w:t>
      </w:r>
    </w:p>
    <w:p w:rsidR="00A44F63" w:rsidRDefault="00A44F63" w:rsidP="00A44F63">
      <w:pPr>
        <w:pStyle w:val="Prrafodelista"/>
        <w:numPr>
          <w:ilvl w:val="0"/>
          <w:numId w:val="13"/>
        </w:numPr>
        <w:spacing w:line="240" w:lineRule="auto"/>
      </w:pPr>
      <w:r>
        <w:t>Determinación de la estabilidad de volumen, según UNE EN 196-3 96</w:t>
      </w:r>
    </w:p>
    <w:p w:rsidR="00A44F63" w:rsidRDefault="00A44F63" w:rsidP="00A44F63">
      <w:pPr>
        <w:pStyle w:val="Prrafodelista"/>
        <w:numPr>
          <w:ilvl w:val="0"/>
          <w:numId w:val="13"/>
        </w:numPr>
        <w:spacing w:line="240" w:lineRule="auto"/>
      </w:pPr>
      <w:r>
        <w:t>Determinación de las resistencias mecánicas, según UNE EN 198-1 96</w:t>
      </w:r>
    </w:p>
    <w:p w:rsidR="00A44F63" w:rsidRDefault="00A44F63" w:rsidP="00A44F63">
      <w:pPr>
        <w:pStyle w:val="Prrafodelista"/>
        <w:numPr>
          <w:ilvl w:val="0"/>
          <w:numId w:val="13"/>
        </w:numPr>
        <w:spacing w:line="240" w:lineRule="auto"/>
      </w:pPr>
      <w:r>
        <w:t>Determinación del calor de hidratación, según UNE 80 118/86</w:t>
      </w:r>
    </w:p>
    <w:p w:rsidR="00A44F63" w:rsidRDefault="00A44F63" w:rsidP="00A44F63">
      <w:pPr>
        <w:pStyle w:val="Prrafodelista"/>
        <w:numPr>
          <w:ilvl w:val="0"/>
          <w:numId w:val="13"/>
        </w:numPr>
        <w:spacing w:line="240" w:lineRule="auto"/>
      </w:pPr>
      <w:r>
        <w:t>Blancura, según UNE 80 117/87</w:t>
      </w:r>
    </w:p>
    <w:p w:rsidR="00A44F63" w:rsidRDefault="00A44F63" w:rsidP="00A44F63">
      <w:pPr>
        <w:pStyle w:val="Prrafodelista"/>
        <w:numPr>
          <w:ilvl w:val="0"/>
          <w:numId w:val="13"/>
        </w:numPr>
        <w:spacing w:line="240" w:lineRule="auto"/>
      </w:pPr>
      <w:r>
        <w:t>Determinación de la composición potencial, según UNE 80 304/86</w:t>
      </w:r>
    </w:p>
    <w:p w:rsidR="00A44F63" w:rsidRPr="00500E14" w:rsidRDefault="00A44F63" w:rsidP="00A44F63">
      <w:r>
        <w:t xml:space="preserve">Para ciertos tipos de cemento y dependiendo de la exigencia del Pliego de Prescripciones Particulares </w:t>
      </w:r>
      <w:r w:rsidRPr="00500E14">
        <w:t>o criterio de la Dirección de Obra se podrán efectuar alguno de los ensayos que se citan a continuación.</w:t>
      </w:r>
    </w:p>
    <w:p w:rsidR="00A44F63" w:rsidRDefault="00A44F63" w:rsidP="00A44F63">
      <w:pPr>
        <w:pStyle w:val="Prrafodelista"/>
        <w:numPr>
          <w:ilvl w:val="0"/>
          <w:numId w:val="14"/>
        </w:numPr>
        <w:spacing w:line="240" w:lineRule="auto"/>
      </w:pPr>
      <w:r>
        <w:t>Finura de molido, según UNE 80 122/91 ó UNE 80 108/86</w:t>
      </w:r>
    </w:p>
    <w:p w:rsidR="00A44F63" w:rsidRDefault="00A44F63" w:rsidP="00A44F63">
      <w:pPr>
        <w:pStyle w:val="Prrafodelista"/>
        <w:numPr>
          <w:ilvl w:val="0"/>
          <w:numId w:val="14"/>
        </w:numPr>
        <w:spacing w:line="240" w:lineRule="auto"/>
      </w:pPr>
      <w:r>
        <w:t>Peso específico real, según UNE 80 103/86</w:t>
      </w:r>
    </w:p>
    <w:p w:rsidR="00A44F63" w:rsidRDefault="00A44F63" w:rsidP="00A44F63">
      <w:pPr>
        <w:pStyle w:val="Prrafodelista"/>
        <w:numPr>
          <w:ilvl w:val="0"/>
          <w:numId w:val="14"/>
        </w:numPr>
        <w:spacing w:line="240" w:lineRule="auto"/>
      </w:pPr>
      <w:r>
        <w:t>Superficie específica Blaine, según UNE 80 122/91</w:t>
      </w:r>
    </w:p>
    <w:p w:rsidR="00A44F63" w:rsidRDefault="00A44F63" w:rsidP="00A44F63">
      <w:pPr>
        <w:pStyle w:val="Prrafodelista"/>
        <w:numPr>
          <w:ilvl w:val="0"/>
          <w:numId w:val="14"/>
        </w:numPr>
        <w:spacing w:line="240" w:lineRule="auto"/>
      </w:pPr>
      <w:r>
        <w:t>Determinación de la humedad, según UNE 80 220/85</w:t>
      </w:r>
    </w:p>
    <w:p w:rsidR="00A44F63" w:rsidRDefault="00A44F63" w:rsidP="00A44F63">
      <w:pPr>
        <w:pStyle w:val="Prrafodelista"/>
        <w:numPr>
          <w:ilvl w:val="0"/>
          <w:numId w:val="14"/>
        </w:numPr>
        <w:spacing w:line="240" w:lineRule="auto"/>
      </w:pPr>
      <w:r>
        <w:t>Contenido de adiciones, según UNE 80 216/91</w:t>
      </w:r>
    </w:p>
    <w:p w:rsidR="00A44F63" w:rsidRDefault="00A44F63" w:rsidP="00A44F63">
      <w:pPr>
        <w:pStyle w:val="Prrafodelista"/>
        <w:numPr>
          <w:ilvl w:val="0"/>
          <w:numId w:val="14"/>
        </w:numPr>
        <w:spacing w:line="240" w:lineRule="auto"/>
      </w:pPr>
      <w:r>
        <w:t>Determinación del óxido de calcio libre, según UNE 80 243/86</w:t>
      </w:r>
    </w:p>
    <w:p w:rsidR="00A44F63" w:rsidRDefault="00A44F63" w:rsidP="00A44F63">
      <w:pPr>
        <w:pStyle w:val="Prrafodelista"/>
        <w:numPr>
          <w:ilvl w:val="0"/>
          <w:numId w:val="14"/>
        </w:numPr>
        <w:spacing w:line="240" w:lineRule="auto"/>
      </w:pPr>
      <w:r>
        <w:t>Determinación del dióxido de carbono, según UNE 80 217/91</w:t>
      </w:r>
    </w:p>
    <w:p w:rsidR="00A44F63" w:rsidRDefault="00A44F63" w:rsidP="00A44F63">
      <w:pPr>
        <w:pStyle w:val="Prrafodelista"/>
        <w:numPr>
          <w:ilvl w:val="0"/>
          <w:numId w:val="14"/>
        </w:numPr>
        <w:spacing w:line="240" w:lineRule="auto"/>
      </w:pPr>
      <w:r>
        <w:t>Determinación del titanio, según UNE 80 228/88</w:t>
      </w:r>
    </w:p>
    <w:p w:rsidR="00A44F63" w:rsidRDefault="00A44F63" w:rsidP="00A44F63">
      <w:pPr>
        <w:pStyle w:val="Ttulo3"/>
        <w:spacing w:before="200" w:line="240" w:lineRule="auto"/>
      </w:pPr>
      <w:r>
        <w:t>Periodicidad de control</w:t>
      </w:r>
    </w:p>
    <w:p w:rsidR="00A44F63" w:rsidRDefault="00A44F63" w:rsidP="00A44F63">
      <w:r>
        <w:t>Antes de comenzar el hormigonado o si varían las condiciones de suministro se realizarán los ensayos físicos, mecánicos y químicos previstos en la instrucción para la recepción de cementos (RC-08), para el tipo de cemento empleado, además de los exigidos en el Pliego de Prescripciones Técnicas Particulares.</w:t>
      </w:r>
    </w:p>
    <w:p w:rsidR="00A44F63" w:rsidRDefault="00A44F63" w:rsidP="00A44F63">
      <w:r>
        <w:t>Al menos una vez cada tres meses de obra y cuando el Director de la misma lo indique, se comprobará al menos los siguientes ensayos:</w:t>
      </w:r>
    </w:p>
    <w:p w:rsidR="00A44F63" w:rsidRDefault="00A44F63" w:rsidP="00A44F63">
      <w:pPr>
        <w:pStyle w:val="Prrafodelista"/>
        <w:numPr>
          <w:ilvl w:val="0"/>
          <w:numId w:val="12"/>
        </w:numPr>
        <w:spacing w:line="240" w:lineRule="auto"/>
      </w:pPr>
      <w:r>
        <w:t>Pérdida al fuego, según UNE EN 196-2 96</w:t>
      </w:r>
    </w:p>
    <w:p w:rsidR="00A44F63" w:rsidRDefault="00A44F63" w:rsidP="00A44F63">
      <w:pPr>
        <w:pStyle w:val="Prrafodelista"/>
        <w:numPr>
          <w:ilvl w:val="0"/>
          <w:numId w:val="12"/>
        </w:numPr>
        <w:spacing w:line="240" w:lineRule="auto"/>
      </w:pPr>
      <w:r>
        <w:t>Residuo insoluble, según UNE EN 196-2 96</w:t>
      </w:r>
    </w:p>
    <w:p w:rsidR="00A44F63" w:rsidRDefault="00A44F63" w:rsidP="00A44F63">
      <w:pPr>
        <w:pStyle w:val="Prrafodelista"/>
        <w:numPr>
          <w:ilvl w:val="0"/>
          <w:numId w:val="12"/>
        </w:numPr>
        <w:spacing w:line="240" w:lineRule="auto"/>
      </w:pPr>
      <w:r>
        <w:t>Determinación del principio y fin de fraguado, según UNE EN 196-3 96</w:t>
      </w:r>
    </w:p>
    <w:p w:rsidR="00A44F63" w:rsidRDefault="00A44F63" w:rsidP="00A44F63">
      <w:pPr>
        <w:pStyle w:val="Prrafodelista"/>
        <w:numPr>
          <w:ilvl w:val="0"/>
          <w:numId w:val="12"/>
        </w:numPr>
        <w:spacing w:line="240" w:lineRule="auto"/>
      </w:pPr>
      <w:r>
        <w:t>Determinación de la estabilidad de volumen, según UNE EN 196-3 96</w:t>
      </w:r>
    </w:p>
    <w:p w:rsidR="00A44F63" w:rsidRDefault="00A44F63" w:rsidP="00A44F63">
      <w:pPr>
        <w:pStyle w:val="Prrafodelista"/>
        <w:numPr>
          <w:ilvl w:val="0"/>
          <w:numId w:val="12"/>
        </w:numPr>
        <w:spacing w:line="240" w:lineRule="auto"/>
      </w:pPr>
      <w:r>
        <w:t>Determinación de las resistencias mecánicas, según UNE EN 198-1 96</w:t>
      </w:r>
    </w:p>
    <w:p w:rsidR="00A44F63" w:rsidRDefault="00A44F63" w:rsidP="00A44F63">
      <w:pPr>
        <w:pStyle w:val="Ttulo3"/>
        <w:spacing w:before="200" w:line="240" w:lineRule="auto"/>
      </w:pPr>
      <w:r>
        <w:lastRenderedPageBreak/>
        <w:t>Exención de ensayos</w:t>
      </w:r>
    </w:p>
    <w:p w:rsidR="00A44F63" w:rsidRDefault="00A44F63" w:rsidP="00A44F63">
      <w:r>
        <w:t>Cuando el cemento posea un Sello o Marca de Conformidad oficialmente homologado o procediendo de un Estado miembro de la Comunidad Económica Europea tenga Sello o Marca de Conformidad reconocido como equivalente por la Administración, la Dirección de Obra podrá eximir de la ejecución de los ensayos de recepción o control, siendo sustituidos por una copia de los documentos de identificación del cemento. Se deberá conservar siempre una muestra preventiva.</w:t>
      </w:r>
    </w:p>
    <w:p w:rsidR="00A44F63" w:rsidRDefault="00A44F63" w:rsidP="00A44F63">
      <w:pPr>
        <w:pStyle w:val="Ttulo3"/>
        <w:spacing w:before="200" w:line="240" w:lineRule="auto"/>
      </w:pPr>
      <w:r>
        <w:t>Documentación</w:t>
      </w:r>
    </w:p>
    <w:p w:rsidR="00A44F63" w:rsidRDefault="00A44F63" w:rsidP="00A44F63">
      <w:r>
        <w:t>El contratista facilitará los siguientes documentos durante la ejecución de la obra de hormigón.</w:t>
      </w:r>
    </w:p>
    <w:p w:rsidR="00A44F63" w:rsidRDefault="00A44F63" w:rsidP="00A44F63">
      <w:pPr>
        <w:pStyle w:val="Prrafodelista"/>
        <w:numPr>
          <w:ilvl w:val="0"/>
          <w:numId w:val="15"/>
        </w:numPr>
        <w:spacing w:line="240" w:lineRule="auto"/>
      </w:pPr>
      <w:r>
        <w:t>Copia de los albaranes de entrega del cemento, debiendo contener, como mínimo, los datos indicados en el apartado A.4.2. del anexo 1 a la Instrucción para la recepción de cementos (RC-08).</w:t>
      </w:r>
    </w:p>
    <w:p w:rsidR="00A44F63" w:rsidRDefault="00A44F63" w:rsidP="00A44F63">
      <w:pPr>
        <w:pStyle w:val="Prrafodelista"/>
        <w:numPr>
          <w:ilvl w:val="0"/>
          <w:numId w:val="15"/>
        </w:numPr>
        <w:spacing w:line="240" w:lineRule="auto"/>
      </w:pPr>
      <w:r>
        <w:t>Copia de la hoja de características del cemento empleado.</w:t>
      </w:r>
    </w:p>
    <w:p w:rsidR="00A44F63" w:rsidRDefault="00A44F63" w:rsidP="00A44F63">
      <w:pPr>
        <w:pStyle w:val="Prrafodelista"/>
        <w:numPr>
          <w:ilvl w:val="0"/>
          <w:numId w:val="15"/>
        </w:numPr>
        <w:spacing w:line="240" w:lineRule="auto"/>
      </w:pPr>
      <w:r>
        <w:t>Documento que acredite la homologación o posesión de un Sello o Marca de Conformidad.</w:t>
      </w:r>
    </w:p>
    <w:p w:rsidR="00A44F63" w:rsidRDefault="00A44F63" w:rsidP="00A44F63">
      <w:pPr>
        <w:pStyle w:val="Ttulo3"/>
        <w:spacing w:before="200" w:line="240" w:lineRule="auto"/>
      </w:pPr>
      <w:r>
        <w:t>Criterios de aceptación o rechazo</w:t>
      </w:r>
    </w:p>
    <w:p w:rsidR="00A44F63" w:rsidRDefault="00A44F63" w:rsidP="00A44F63">
      <w:r>
        <w:t>Las siguientes causas serán suficientes para considerar el cemento como no apto para la fabricación del hormigón.</w:t>
      </w:r>
    </w:p>
    <w:p w:rsidR="00A44F63" w:rsidRDefault="00A44F63" w:rsidP="00A44F63">
      <w:pPr>
        <w:pStyle w:val="Prrafodelista"/>
        <w:numPr>
          <w:ilvl w:val="0"/>
          <w:numId w:val="16"/>
        </w:numPr>
        <w:spacing w:line="240" w:lineRule="auto"/>
      </w:pPr>
      <w:r>
        <w:t>Cuando el cemento no esté homologado.</w:t>
      </w:r>
    </w:p>
    <w:p w:rsidR="00A44F63" w:rsidRDefault="00A44F63" w:rsidP="00A44F63">
      <w:pPr>
        <w:pStyle w:val="Prrafodelista"/>
        <w:numPr>
          <w:ilvl w:val="0"/>
          <w:numId w:val="16"/>
        </w:numPr>
        <w:spacing w:line="240" w:lineRule="auto"/>
      </w:pPr>
      <w:r>
        <w:t>Cuando al cemento no le acompaña el certificado de garantía del fabricante (hoja de características del cemento).</w:t>
      </w:r>
    </w:p>
    <w:p w:rsidR="00A44F63" w:rsidRDefault="00A44F63" w:rsidP="00A44F63">
      <w:pPr>
        <w:pStyle w:val="Prrafodelista"/>
        <w:numPr>
          <w:ilvl w:val="0"/>
          <w:numId w:val="16"/>
        </w:numPr>
        <w:spacing w:line="240" w:lineRule="auto"/>
      </w:pPr>
      <w:r>
        <w:t>Cuando no se cumpla alguna de las especificaciones.</w:t>
      </w:r>
    </w:p>
    <w:p w:rsidR="00A44F63" w:rsidRPr="00500E14" w:rsidRDefault="00A44F63" w:rsidP="00A44F63">
      <w:pPr>
        <w:pStyle w:val="Ttulo2"/>
        <w:spacing w:before="200" w:line="240" w:lineRule="auto"/>
      </w:pPr>
      <w:bookmarkStart w:id="20" w:name="_Toc500235031"/>
      <w:bookmarkStart w:id="21" w:name="_Toc517366236"/>
      <w:bookmarkStart w:id="22" w:name="_Toc536531067"/>
      <w:r>
        <w:t>ADITIVOS PARA LA FABRICACIÓN DE HORMIGONES</w:t>
      </w:r>
      <w:bookmarkEnd w:id="20"/>
      <w:bookmarkEnd w:id="21"/>
      <w:bookmarkEnd w:id="22"/>
    </w:p>
    <w:p w:rsidR="00A44F63" w:rsidRDefault="00A44F63" w:rsidP="00A44F63">
      <w:pPr>
        <w:pStyle w:val="Ttulo3"/>
        <w:spacing w:before="200" w:line="240" w:lineRule="auto"/>
      </w:pPr>
      <w:r>
        <w:t>Características técnicas</w:t>
      </w:r>
    </w:p>
    <w:p w:rsidR="00A44F63" w:rsidRDefault="00A44F63" w:rsidP="00A44F63">
      <w:r>
        <w:t>Aditivos son aquellas sustancias o productos que incorporados al hormigón antes de, o durante, el amasado (o durante un amasado suplementario) en una proporción no superior al 5% del peso del cemento, producen la modificación deseada en estado fresco y/o endurecido de alguna de sus características, de sus propiedades habituales o de su comportamiento, sin perturbar excesivamente las restantes características ni representar peligro para las armaduras.</w:t>
      </w:r>
    </w:p>
    <w:p w:rsidR="00A44F63" w:rsidRDefault="00A44F63" w:rsidP="00A44F63">
      <w:r>
        <w:t>El fabricante garantizará las características del aditivo designado de acuerdo con lo indicado en la Norma UNE EN 934-2(98).</w:t>
      </w:r>
    </w:p>
    <w:p w:rsidR="00A44F63" w:rsidRDefault="00A44F63" w:rsidP="00A44F63">
      <w:pPr>
        <w:pStyle w:val="Ttulo3"/>
        <w:spacing w:before="200" w:line="240" w:lineRule="auto"/>
      </w:pPr>
      <w:r>
        <w:t>Toma de muestras</w:t>
      </w:r>
    </w:p>
    <w:p w:rsidR="00A44F63" w:rsidRDefault="00A44F63" w:rsidP="00A44F63">
      <w:r>
        <w:t>Cuando se deban efectuar ensayos de recepción o control de los aditivos empleados en el amasado del hormigón, la toma de muestras se realizará según la Norma UNE 83 254/87.</w:t>
      </w:r>
    </w:p>
    <w:p w:rsidR="00A44F63" w:rsidRDefault="00A44F63" w:rsidP="00A44F63">
      <w:pPr>
        <w:pStyle w:val="Ttulo3"/>
        <w:spacing w:before="200" w:line="240" w:lineRule="auto"/>
      </w:pPr>
      <w:r>
        <w:t>Ensayos de control</w:t>
      </w:r>
    </w:p>
    <w:p w:rsidR="00A44F63" w:rsidRDefault="00A44F63" w:rsidP="00A44F63">
      <w:r>
        <w:t>Cuando se requiera contrastar las características del aditivo con los valores garantizados por el fabricante, su determinación se realizará según las siguientes normas de ensayo.</w:t>
      </w:r>
    </w:p>
    <w:p w:rsidR="00A44F63" w:rsidRDefault="00A44F63" w:rsidP="00A44F63">
      <w:r>
        <w:lastRenderedPageBreak/>
        <w:t>Ensayos comunes para los aditivos líquidos y sólidos</w:t>
      </w:r>
    </w:p>
    <w:p w:rsidR="00A44F63" w:rsidRDefault="00A44F63" w:rsidP="00A44F63">
      <w:pPr>
        <w:pStyle w:val="Prrafodelista"/>
        <w:numPr>
          <w:ilvl w:val="0"/>
          <w:numId w:val="17"/>
        </w:numPr>
        <w:spacing w:line="240" w:lineRule="auto"/>
      </w:pPr>
      <w:r>
        <w:t>Pérdida por calcinación, según UNE 83 207/85</w:t>
      </w:r>
    </w:p>
    <w:p w:rsidR="00A44F63" w:rsidRDefault="00A44F63" w:rsidP="00A44F63">
      <w:pPr>
        <w:pStyle w:val="Prrafodelista"/>
        <w:numPr>
          <w:ilvl w:val="0"/>
          <w:numId w:val="17"/>
        </w:numPr>
        <w:spacing w:line="240" w:lineRule="auto"/>
      </w:pPr>
      <w:r>
        <w:t>Residuo insoluble en agua destilada, según UNE 83 208/85</w:t>
      </w:r>
    </w:p>
    <w:p w:rsidR="00A44F63" w:rsidRDefault="00A44F63" w:rsidP="00A44F63">
      <w:pPr>
        <w:pStyle w:val="Prrafodelista"/>
        <w:numPr>
          <w:ilvl w:val="0"/>
          <w:numId w:val="17"/>
        </w:numPr>
        <w:spacing w:line="240" w:lineRule="auto"/>
      </w:pPr>
      <w:r>
        <w:t>Determinación del agua no combinada; según UNE 83 209/86</w:t>
      </w:r>
    </w:p>
    <w:p w:rsidR="00A44F63" w:rsidRDefault="00A44F63" w:rsidP="00A44F63">
      <w:pPr>
        <w:pStyle w:val="Prrafodelista"/>
        <w:numPr>
          <w:ilvl w:val="0"/>
          <w:numId w:val="17"/>
        </w:numPr>
        <w:spacing w:line="240" w:lineRule="auto"/>
      </w:pPr>
      <w:r>
        <w:t>Determinación del contenido de halogenuros totales, según UNE 83 210/88</w:t>
      </w:r>
    </w:p>
    <w:p w:rsidR="00A44F63" w:rsidRDefault="00A44F63" w:rsidP="00A44F63">
      <w:pPr>
        <w:pStyle w:val="Prrafodelista"/>
        <w:numPr>
          <w:ilvl w:val="0"/>
          <w:numId w:val="17"/>
        </w:numPr>
        <w:spacing w:line="240" w:lineRule="auto"/>
      </w:pPr>
      <w:r>
        <w:t xml:space="preserve">Determinación del contenido de compuestos de azufre, según UNE 83 211/87 </w:t>
      </w:r>
    </w:p>
    <w:p w:rsidR="00A44F63" w:rsidRDefault="00A44F63" w:rsidP="00A44F63">
      <w:pPr>
        <w:pStyle w:val="Prrafodelista"/>
        <w:numPr>
          <w:ilvl w:val="0"/>
          <w:numId w:val="17"/>
        </w:numPr>
        <w:spacing w:line="240" w:lineRule="auto"/>
      </w:pPr>
      <w:r>
        <w:t>Determinación del pH, según UNE 83 227/86</w:t>
      </w:r>
    </w:p>
    <w:p w:rsidR="00A44F63" w:rsidRDefault="00A44F63" w:rsidP="00A44F63">
      <w:pPr>
        <w:pStyle w:val="Prrafodelista"/>
        <w:numPr>
          <w:ilvl w:val="0"/>
          <w:numId w:val="17"/>
        </w:numPr>
        <w:spacing w:line="240" w:lineRule="auto"/>
      </w:pPr>
      <w:r>
        <w:t>Obtención del espectro infrarrojo, según UNE 83 240/86</w:t>
      </w:r>
    </w:p>
    <w:p w:rsidR="00A44F63" w:rsidRDefault="00A44F63" w:rsidP="00A44F63">
      <w:pPr>
        <w:pStyle w:val="Prrafodelista"/>
        <w:numPr>
          <w:ilvl w:val="0"/>
          <w:numId w:val="17"/>
        </w:numPr>
        <w:spacing w:line="240" w:lineRule="auto"/>
      </w:pPr>
      <w:r>
        <w:t>Determinación de la consistencia por el método de la mesa de sacudidas, según UNE 83 258/88</w:t>
      </w:r>
    </w:p>
    <w:p w:rsidR="00A44F63" w:rsidRDefault="00A44F63" w:rsidP="00A44F63">
      <w:pPr>
        <w:pStyle w:val="Prrafodelista"/>
        <w:numPr>
          <w:ilvl w:val="0"/>
          <w:numId w:val="17"/>
        </w:numPr>
        <w:spacing w:line="240" w:lineRule="auto"/>
      </w:pPr>
      <w:r>
        <w:t>Determinación del contenido de aíre ocluido, según UNE 83 259/87</w:t>
      </w:r>
    </w:p>
    <w:p w:rsidR="00A44F63" w:rsidRDefault="00A44F63" w:rsidP="00A44F63">
      <w:pPr>
        <w:pStyle w:val="Prrafodelista"/>
        <w:numPr>
          <w:ilvl w:val="0"/>
          <w:numId w:val="17"/>
        </w:numPr>
        <w:spacing w:line="240" w:lineRule="auto"/>
      </w:pPr>
      <w:r>
        <w:t>Determinación del tiempo de fraguado, según UNE 83 260/89</w:t>
      </w:r>
    </w:p>
    <w:p w:rsidR="00A44F63" w:rsidRDefault="00A44F63" w:rsidP="00A44F63">
      <w:pPr>
        <w:pStyle w:val="Prrafodelista"/>
        <w:numPr>
          <w:ilvl w:val="0"/>
          <w:numId w:val="17"/>
        </w:numPr>
        <w:spacing w:line="240" w:lineRule="auto"/>
      </w:pPr>
      <w:r>
        <w:t>Determinación de la pérdida de agua por evaporación, según UNE 83 299/93</w:t>
      </w:r>
    </w:p>
    <w:p w:rsidR="00A44F63" w:rsidRDefault="00A44F63" w:rsidP="00A44F63">
      <w:pPr>
        <w:pStyle w:val="Prrafodelista"/>
        <w:numPr>
          <w:ilvl w:val="0"/>
          <w:numId w:val="17"/>
        </w:numPr>
        <w:spacing w:line="240" w:lineRule="auto"/>
      </w:pPr>
      <w:r>
        <w:t>Ensayos previos del hormigón, según UNE EN 934-2(98)</w:t>
      </w:r>
    </w:p>
    <w:p w:rsidR="00A44F63" w:rsidRDefault="00A44F63" w:rsidP="00A44F63">
      <w:r>
        <w:t>Ensayos específicos de aditivos sólidos</w:t>
      </w:r>
    </w:p>
    <w:p w:rsidR="00A44F63" w:rsidRDefault="00A44F63" w:rsidP="00A44F63">
      <w:pPr>
        <w:pStyle w:val="Prrafodelista"/>
        <w:numPr>
          <w:ilvl w:val="0"/>
          <w:numId w:val="17"/>
        </w:numPr>
        <w:spacing w:line="240" w:lineRule="auto"/>
      </w:pPr>
      <w:r>
        <w:t>Pérdida de masa a 105 ºC, según UNE 83 206/85</w:t>
      </w:r>
    </w:p>
    <w:p w:rsidR="00A44F63" w:rsidRDefault="00A44F63" w:rsidP="00A44F63">
      <w:pPr>
        <w:pStyle w:val="Prrafodelista"/>
        <w:numPr>
          <w:ilvl w:val="0"/>
          <w:numId w:val="17"/>
        </w:numPr>
        <w:spacing w:line="240" w:lineRule="auto"/>
      </w:pPr>
      <w:r>
        <w:t>Determinación de la densidad aparente, según UNE 83 226/86</w:t>
      </w:r>
    </w:p>
    <w:p w:rsidR="00A44F63" w:rsidRDefault="00A44F63" w:rsidP="00A44F63">
      <w:r>
        <w:t>Ensayos específicos de aditivos líquidos</w:t>
      </w:r>
    </w:p>
    <w:p w:rsidR="00A44F63" w:rsidRDefault="00A44F63" w:rsidP="00A44F63">
      <w:pPr>
        <w:pStyle w:val="Prrafodelista"/>
        <w:numPr>
          <w:ilvl w:val="0"/>
          <w:numId w:val="17"/>
        </w:numPr>
        <w:spacing w:line="240" w:lineRule="auto"/>
      </w:pPr>
      <w:r>
        <w:t>Residuo seco a 105 ºC, según UNE 83 205/85</w:t>
      </w:r>
    </w:p>
    <w:p w:rsidR="00A44F63" w:rsidRDefault="00A44F63" w:rsidP="00A44F63">
      <w:pPr>
        <w:pStyle w:val="Prrafodelista"/>
        <w:numPr>
          <w:ilvl w:val="0"/>
          <w:numId w:val="17"/>
        </w:numPr>
        <w:spacing w:line="240" w:lineRule="auto"/>
      </w:pPr>
      <w:r>
        <w:t>Determinación del peso específico, según UNE 83 225/86</w:t>
      </w:r>
    </w:p>
    <w:p w:rsidR="00A44F63" w:rsidRDefault="00A44F63" w:rsidP="00A44F63">
      <w:pPr>
        <w:pStyle w:val="Ttulo3"/>
        <w:spacing w:before="200" w:line="240" w:lineRule="auto"/>
      </w:pPr>
      <w:r>
        <w:t>Periodicidad de control</w:t>
      </w:r>
    </w:p>
    <w:p w:rsidR="00A44F63" w:rsidRDefault="00A44F63" w:rsidP="00A44F63">
      <w:r>
        <w:t>Antes de comenzar la obra, si se aprecian modificaciones de las características de calidad del producto y siempre que lo indique el Director de Obra, se comprobará el efecto del aditivo sobre las características de calidad del hormigón mediante los ensayos previos del hormigón. Igualmente se comprobará la ausencia en la composición del aditivo de compuestos químicos que puedan favorecer la corrosión de las armaduras.</w:t>
      </w:r>
    </w:p>
    <w:p w:rsidR="00A44F63" w:rsidRDefault="00A44F63" w:rsidP="00A44F63">
      <w:r>
        <w:t>Durante la ejecución de la obra se vigilará que el tipo y marca del aditivo sea precisamente el aceptado según el párrafo anterior</w:t>
      </w:r>
    </w:p>
    <w:p w:rsidR="00A44F63" w:rsidRDefault="00A44F63" w:rsidP="00A44F63">
      <w:pPr>
        <w:pStyle w:val="Ttulo3"/>
        <w:spacing w:before="200" w:line="240" w:lineRule="auto"/>
      </w:pPr>
      <w:r>
        <w:t>Exención de ensayos</w:t>
      </w:r>
    </w:p>
    <w:p w:rsidR="00A44F63" w:rsidRDefault="00A44F63" w:rsidP="00A44F63">
      <w:r>
        <w:t>Salvo que el Director de Obra considere oportuno la ejecución de ensayos de recepción, no será necesaria su realización cuando el fabricante del producto certifique por escrito que agregando, en las proporciones y condiciones previstas, el aditivo produce la función principal deseada sin perturbar excesivamente las restantes características del hormigón ni representar peligro para las armaduras.</w:t>
      </w:r>
    </w:p>
    <w:p w:rsidR="00A44F63" w:rsidRDefault="00A44F63" w:rsidP="00A44F63">
      <w:pPr>
        <w:pStyle w:val="Ttulo3"/>
        <w:spacing w:before="200" w:line="240" w:lineRule="auto"/>
      </w:pPr>
      <w:r>
        <w:t>Documentación</w:t>
      </w:r>
    </w:p>
    <w:p w:rsidR="00A44F63" w:rsidRDefault="00A44F63" w:rsidP="00A44F63">
      <w:r>
        <w:t>Cuando se quiera eximir al aditivo de la realización de ensayos, el Contratista aportará los siguientes documentos, los cuales deberán ser aceptados por el Director de Obra.</w:t>
      </w:r>
    </w:p>
    <w:p w:rsidR="00A44F63" w:rsidRDefault="00A44F63" w:rsidP="00A44F63">
      <w:pPr>
        <w:pStyle w:val="Prrafodelista"/>
        <w:numPr>
          <w:ilvl w:val="0"/>
          <w:numId w:val="18"/>
        </w:numPr>
        <w:spacing w:after="160"/>
      </w:pPr>
      <w:r>
        <w:t>Ficha técnica del producto, donde figurará, como mínimo, la siguiente información:</w:t>
      </w:r>
    </w:p>
    <w:p w:rsidR="00A44F63" w:rsidRDefault="00A44F63" w:rsidP="00A44F63">
      <w:pPr>
        <w:pStyle w:val="Prrafodelista"/>
        <w:numPr>
          <w:ilvl w:val="1"/>
          <w:numId w:val="19"/>
        </w:numPr>
        <w:spacing w:after="160"/>
      </w:pPr>
      <w:r>
        <w:lastRenderedPageBreak/>
        <w:t>Designación del aditivo de acuerdo con la Norma UNE EN 934-2(98)</w:t>
      </w:r>
      <w:r>
        <w:tab/>
      </w:r>
    </w:p>
    <w:p w:rsidR="00A44F63" w:rsidRDefault="00A44F63" w:rsidP="00A44F63">
      <w:pPr>
        <w:pStyle w:val="Prrafodelista"/>
        <w:numPr>
          <w:ilvl w:val="1"/>
          <w:numId w:val="19"/>
        </w:numPr>
        <w:spacing w:after="160"/>
      </w:pPr>
      <w:r>
        <w:t>Acción principal del producto y otras acciones simultáneas, secundarias o de alguna importancia.</w:t>
      </w:r>
    </w:p>
    <w:p w:rsidR="00A44F63" w:rsidRDefault="00A44F63" w:rsidP="00A44F63">
      <w:pPr>
        <w:pStyle w:val="Prrafodelista"/>
        <w:numPr>
          <w:ilvl w:val="1"/>
          <w:numId w:val="19"/>
        </w:numPr>
        <w:spacing w:after="160"/>
      </w:pPr>
      <w:r>
        <w:t>Grupos químicos a que pertenecen los elementos activos de base de los productos, sus componentes principales y los secundarios que se empleen para modificar la acción principal.</w:t>
      </w:r>
    </w:p>
    <w:p w:rsidR="00A44F63" w:rsidRDefault="00A44F63" w:rsidP="00A44F63">
      <w:pPr>
        <w:pStyle w:val="Prrafodelista"/>
        <w:numPr>
          <w:ilvl w:val="1"/>
          <w:numId w:val="19"/>
        </w:numPr>
        <w:spacing w:after="160"/>
      </w:pPr>
      <w:r>
        <w:t>Posibles incompatibilidades con otros aditivos.</w:t>
      </w:r>
    </w:p>
    <w:p w:rsidR="00A44F63" w:rsidRDefault="00A44F63" w:rsidP="00A44F63">
      <w:pPr>
        <w:pStyle w:val="Prrafodelista"/>
        <w:numPr>
          <w:ilvl w:val="1"/>
          <w:numId w:val="19"/>
        </w:numPr>
        <w:spacing w:after="160"/>
      </w:pPr>
      <w:r>
        <w:t>Dosificación del producto.</w:t>
      </w:r>
    </w:p>
    <w:p w:rsidR="00A44F63" w:rsidRDefault="00A44F63" w:rsidP="00A44F63">
      <w:pPr>
        <w:pStyle w:val="Prrafodelista"/>
        <w:numPr>
          <w:ilvl w:val="1"/>
          <w:numId w:val="19"/>
        </w:numPr>
        <w:spacing w:after="160"/>
      </w:pPr>
      <w:r>
        <w:t>Condiciones de almacenamiento y periodo máximo admisible.</w:t>
      </w:r>
    </w:p>
    <w:p w:rsidR="00A44F63" w:rsidRDefault="00A44F63" w:rsidP="00A44F63">
      <w:pPr>
        <w:pStyle w:val="Prrafodelista"/>
        <w:numPr>
          <w:ilvl w:val="0"/>
          <w:numId w:val="18"/>
        </w:numPr>
        <w:spacing w:after="160"/>
      </w:pPr>
      <w:r>
        <w:t>Certificado de garantía del fabricante.</w:t>
      </w:r>
    </w:p>
    <w:p w:rsidR="00A44F63" w:rsidRDefault="00A44F63" w:rsidP="00A44F63">
      <w:pPr>
        <w:pStyle w:val="Ttulo3"/>
        <w:spacing w:before="200" w:line="240" w:lineRule="auto"/>
      </w:pPr>
      <w:r>
        <w:t>Criterios de aceptación o rechazo</w:t>
      </w:r>
    </w:p>
    <w:p w:rsidR="00A44F63" w:rsidRDefault="00A44F63" w:rsidP="00A44F63">
      <w:r>
        <w:t>Las siguientes causas serán suficientes para considerar el aditivo como no apto para la fabricación del hormigón.</w:t>
      </w:r>
    </w:p>
    <w:p w:rsidR="00A44F63" w:rsidRDefault="00A44F63" w:rsidP="00A44F63">
      <w:pPr>
        <w:pStyle w:val="Prrafodelista"/>
        <w:numPr>
          <w:ilvl w:val="0"/>
          <w:numId w:val="20"/>
        </w:numPr>
        <w:spacing w:line="240" w:lineRule="auto"/>
      </w:pPr>
      <w:r>
        <w:t>Prohibición expresa del Director de Obra del empleo de aditivos.</w:t>
      </w:r>
    </w:p>
    <w:p w:rsidR="00A44F63" w:rsidRDefault="00A44F63" w:rsidP="00A44F63">
      <w:pPr>
        <w:pStyle w:val="Prrafodelista"/>
        <w:numPr>
          <w:ilvl w:val="0"/>
          <w:numId w:val="20"/>
        </w:numPr>
        <w:spacing w:line="240" w:lineRule="auto"/>
      </w:pPr>
      <w:r>
        <w:t>El no cumplimiento de alguna de las especificaciones contempladas en el artículo 29 de la Instrucción EHE, en el Pliego de Prescripciones Técnicas Particulares o en la ficha técnica del producto.</w:t>
      </w:r>
    </w:p>
    <w:p w:rsidR="00A44F63" w:rsidRDefault="00A44F63" w:rsidP="00A44F63">
      <w:pPr>
        <w:pStyle w:val="Prrafodelista"/>
        <w:numPr>
          <w:ilvl w:val="0"/>
          <w:numId w:val="20"/>
        </w:numPr>
        <w:spacing w:line="240" w:lineRule="auto"/>
      </w:pPr>
      <w:r>
        <w:t>Etiquetado no conforme con las condiciones contenidas en la Norma UNE 83 275/89.</w:t>
      </w:r>
    </w:p>
    <w:p w:rsidR="00A44F63" w:rsidRDefault="00A44F63" w:rsidP="00A44F63">
      <w:pPr>
        <w:pStyle w:val="Prrafodelista"/>
        <w:numPr>
          <w:ilvl w:val="0"/>
          <w:numId w:val="20"/>
        </w:numPr>
        <w:spacing w:line="240" w:lineRule="auto"/>
      </w:pPr>
      <w:r>
        <w:t>No presentación del certificado de garantía del fabricante.</w:t>
      </w:r>
    </w:p>
    <w:p w:rsidR="00A44F63" w:rsidRDefault="00A44F63" w:rsidP="00A44F63">
      <w:pPr>
        <w:pStyle w:val="Ttulo2"/>
        <w:spacing w:before="200" w:line="240" w:lineRule="auto"/>
      </w:pPr>
      <w:bookmarkStart w:id="23" w:name="_Toc517366237"/>
      <w:bookmarkStart w:id="24" w:name="_Toc536531068"/>
      <w:r>
        <w:t>HORMIGÓN</w:t>
      </w:r>
      <w:bookmarkEnd w:id="23"/>
      <w:bookmarkEnd w:id="24"/>
    </w:p>
    <w:p w:rsidR="00A44F63" w:rsidRDefault="00A44F63" w:rsidP="00A44F63">
      <w:pPr>
        <w:pStyle w:val="Ttulo3"/>
        <w:spacing w:before="200" w:line="240" w:lineRule="auto"/>
      </w:pPr>
      <w:r>
        <w:t>Características técnicas</w:t>
      </w:r>
    </w:p>
    <w:p w:rsidR="00A44F63" w:rsidRDefault="00A44F63" w:rsidP="00A44F63">
      <w:r>
        <w:t>Las características generales que debe cumplir el hormigón se encuentran descritas en el Artículo 31 de la instrucción EHE-08.</w:t>
      </w:r>
    </w:p>
    <w:p w:rsidR="00A44F63" w:rsidRDefault="00A44F63" w:rsidP="00A44F63">
      <w:r>
        <w:t>Las características particulares de los distintos hormigones que conforman los elementos de la obra se encuentran definidas en el Pliego de Prescripciones Particulares de la Obra.</w:t>
      </w:r>
    </w:p>
    <w:p w:rsidR="00A44F63" w:rsidRDefault="00A44F63" w:rsidP="00A44F63">
      <w:r>
        <w:t>Otras características intrínsecas al hormigón se definen en los siguientes artículos de la Instrucción EHE:</w:t>
      </w:r>
    </w:p>
    <w:p w:rsidR="00A44F63" w:rsidRDefault="00A44F63" w:rsidP="00A44F63">
      <w:pPr>
        <w:pStyle w:val="Prrafodelista"/>
        <w:numPr>
          <w:ilvl w:val="0"/>
          <w:numId w:val="21"/>
        </w:numPr>
        <w:spacing w:line="240" w:lineRule="auto"/>
      </w:pPr>
      <w:r>
        <w:t>Artículo 37 "Durabilidad del hormigón y las armaduras"</w:t>
      </w:r>
    </w:p>
    <w:p w:rsidR="00A44F63" w:rsidRDefault="00A44F63" w:rsidP="00A44F63">
      <w:pPr>
        <w:pStyle w:val="Prrafodelista"/>
        <w:numPr>
          <w:ilvl w:val="0"/>
          <w:numId w:val="21"/>
        </w:numPr>
        <w:spacing w:line="240" w:lineRule="auto"/>
      </w:pPr>
      <w:r>
        <w:t>Artículo 71 "Elaboración y puesta en obra del hormigón".</w:t>
      </w:r>
    </w:p>
    <w:p w:rsidR="00A44F63" w:rsidRDefault="00A44F63" w:rsidP="00A44F63">
      <w:pPr>
        <w:pStyle w:val="Prrafodelista"/>
        <w:numPr>
          <w:ilvl w:val="0"/>
          <w:numId w:val="21"/>
        </w:numPr>
        <w:spacing w:line="240" w:lineRule="auto"/>
      </w:pPr>
      <w:r>
        <w:t>Capítulo 7 “DURABILIDAD”</w:t>
      </w:r>
    </w:p>
    <w:p w:rsidR="00A44F63" w:rsidRDefault="00A44F63" w:rsidP="00A44F63">
      <w:pPr>
        <w:pStyle w:val="Ttulo3"/>
        <w:spacing w:before="200" w:line="240" w:lineRule="auto"/>
      </w:pPr>
      <w:r>
        <w:t>Toma de muestras</w:t>
      </w:r>
    </w:p>
    <w:p w:rsidR="00A44F63" w:rsidRDefault="00A44F63" w:rsidP="00A44F63">
      <w:r>
        <w:t>La toma de muestras del hormigón fresco se realizará según el procedimiento descrito en la Norma UNE 83 300/84.</w:t>
      </w:r>
    </w:p>
    <w:p w:rsidR="00A44F63" w:rsidRDefault="00A44F63" w:rsidP="00A44F63">
      <w:r>
        <w:t>Cuando sea necesaria la extracción de probetas testigo de hormigón endurecido se efectuará según la Norma UNE 83 302/84.</w:t>
      </w:r>
    </w:p>
    <w:p w:rsidR="00A44F63" w:rsidRDefault="00A44F63" w:rsidP="00A44F63">
      <w:pPr>
        <w:pStyle w:val="Ttulo3"/>
        <w:spacing w:before="200" w:line="240" w:lineRule="auto"/>
      </w:pPr>
      <w:r>
        <w:lastRenderedPageBreak/>
        <w:t>Ensayos de control</w:t>
      </w:r>
    </w:p>
    <w:p w:rsidR="00A44F63" w:rsidRDefault="00A44F63" w:rsidP="00A44F63">
      <w:r>
        <w:t>Para la ejecución de los ensayos sobre hormigón se emplearán los siguientes procedimientos normalizados:</w:t>
      </w:r>
    </w:p>
    <w:p w:rsidR="00A44F63" w:rsidRDefault="00A44F63" w:rsidP="00A44F63">
      <w:pPr>
        <w:pStyle w:val="Prrafodelista"/>
        <w:numPr>
          <w:ilvl w:val="0"/>
          <w:numId w:val="22"/>
        </w:numPr>
        <w:spacing w:line="240" w:lineRule="auto"/>
      </w:pPr>
      <w:r>
        <w:t>Fabricación y conservación de probetas de hormigón, según UNE 83 301/91</w:t>
      </w:r>
    </w:p>
    <w:p w:rsidR="00A44F63" w:rsidRDefault="00A44F63" w:rsidP="00A44F63">
      <w:pPr>
        <w:pStyle w:val="Prrafodelista"/>
        <w:numPr>
          <w:ilvl w:val="0"/>
          <w:numId w:val="22"/>
        </w:numPr>
        <w:spacing w:line="240" w:lineRule="auto"/>
      </w:pPr>
      <w:r>
        <w:t>Refrentado de probetas de hormigón, según UNE 83 303/84</w:t>
      </w:r>
    </w:p>
    <w:p w:rsidR="00A44F63" w:rsidRDefault="00A44F63" w:rsidP="00A44F63">
      <w:pPr>
        <w:pStyle w:val="Prrafodelista"/>
        <w:numPr>
          <w:ilvl w:val="0"/>
          <w:numId w:val="22"/>
        </w:numPr>
        <w:spacing w:line="240" w:lineRule="auto"/>
      </w:pPr>
      <w:r>
        <w:t>Rotura por compresión, según UNE 83 304/84</w:t>
      </w:r>
    </w:p>
    <w:p w:rsidR="00A44F63" w:rsidRDefault="00A44F63" w:rsidP="00A44F63">
      <w:pPr>
        <w:pStyle w:val="Prrafodelista"/>
        <w:numPr>
          <w:ilvl w:val="0"/>
          <w:numId w:val="22"/>
        </w:numPr>
        <w:spacing w:line="240" w:lineRule="auto"/>
      </w:pPr>
      <w:r>
        <w:t>Rotura por flexotracción, según UNE 83 305/86</w:t>
      </w:r>
    </w:p>
    <w:p w:rsidR="00A44F63" w:rsidRDefault="00A44F63" w:rsidP="00A44F63">
      <w:pPr>
        <w:pStyle w:val="Prrafodelista"/>
        <w:numPr>
          <w:ilvl w:val="0"/>
          <w:numId w:val="22"/>
        </w:numPr>
        <w:spacing w:line="240" w:lineRule="auto"/>
      </w:pPr>
      <w:r>
        <w:t>Rotura por tracción indirecta, según UNE 83 306/85</w:t>
      </w:r>
    </w:p>
    <w:p w:rsidR="00A44F63" w:rsidRDefault="00A44F63" w:rsidP="00A44F63">
      <w:pPr>
        <w:pStyle w:val="Prrafodelista"/>
        <w:numPr>
          <w:ilvl w:val="0"/>
          <w:numId w:val="22"/>
        </w:numPr>
        <w:spacing w:line="240" w:lineRule="auto"/>
      </w:pPr>
      <w:r>
        <w:t>Determinación del índice de rebote, según UNE 83 307/86</w:t>
      </w:r>
    </w:p>
    <w:p w:rsidR="00A44F63" w:rsidRDefault="00A44F63" w:rsidP="00A44F63">
      <w:pPr>
        <w:pStyle w:val="Prrafodelista"/>
        <w:numPr>
          <w:ilvl w:val="0"/>
          <w:numId w:val="22"/>
        </w:numPr>
        <w:spacing w:line="240" w:lineRule="auto"/>
      </w:pPr>
      <w:r>
        <w:t>Determinación de la velocidad de propagación de los impulsos ultrasónicos, según UNE83 308/86</w:t>
      </w:r>
    </w:p>
    <w:p w:rsidR="00A44F63" w:rsidRDefault="00A44F63" w:rsidP="00A44F63">
      <w:pPr>
        <w:pStyle w:val="Prrafodelista"/>
        <w:numPr>
          <w:ilvl w:val="0"/>
          <w:numId w:val="22"/>
        </w:numPr>
        <w:spacing w:line="240" w:lineRule="auto"/>
      </w:pPr>
      <w:r>
        <w:t>Determinación de la profundidad de penetración de agua bajo presión, según UNE 83 309/93</w:t>
      </w:r>
    </w:p>
    <w:p w:rsidR="00A44F63" w:rsidRDefault="00A44F63" w:rsidP="00A44F63">
      <w:pPr>
        <w:pStyle w:val="Prrafodelista"/>
        <w:numPr>
          <w:ilvl w:val="0"/>
          <w:numId w:val="22"/>
        </w:numPr>
        <w:spacing w:line="240" w:lineRule="auto"/>
      </w:pPr>
      <w:r>
        <w:t>Determinación de la permeabilidad, según UNE 83 310/90</w:t>
      </w:r>
    </w:p>
    <w:p w:rsidR="00A44F63" w:rsidRDefault="00A44F63" w:rsidP="00A44F63">
      <w:pPr>
        <w:pStyle w:val="Prrafodelista"/>
        <w:numPr>
          <w:ilvl w:val="0"/>
          <w:numId w:val="22"/>
        </w:numPr>
        <w:spacing w:line="240" w:lineRule="auto"/>
      </w:pPr>
      <w:r>
        <w:t>Determinación del tiempo de fraguado, según UNE 83 311/86</w:t>
      </w:r>
    </w:p>
    <w:p w:rsidR="00A44F63" w:rsidRDefault="00A44F63" w:rsidP="00A44F63">
      <w:pPr>
        <w:pStyle w:val="Prrafodelista"/>
        <w:numPr>
          <w:ilvl w:val="0"/>
          <w:numId w:val="22"/>
        </w:numPr>
        <w:spacing w:line="240" w:lineRule="auto"/>
      </w:pPr>
      <w:r>
        <w:t>Determinación de la densidad del hormigón endurecido, según UNE 83 312/90</w:t>
      </w:r>
    </w:p>
    <w:p w:rsidR="00A44F63" w:rsidRDefault="00A44F63" w:rsidP="00A44F63">
      <w:pPr>
        <w:pStyle w:val="Prrafodelista"/>
        <w:numPr>
          <w:ilvl w:val="0"/>
          <w:numId w:val="22"/>
        </w:numPr>
        <w:spacing w:line="240" w:lineRule="auto"/>
      </w:pPr>
      <w:r>
        <w:t>Medida de la consistencia, método Cono de Abrams, según UNE 83 313/90</w:t>
      </w:r>
    </w:p>
    <w:p w:rsidR="00A44F63" w:rsidRDefault="00A44F63" w:rsidP="00A44F63">
      <w:pPr>
        <w:pStyle w:val="Prrafodelista"/>
        <w:numPr>
          <w:ilvl w:val="0"/>
          <w:numId w:val="22"/>
        </w:numPr>
        <w:spacing w:line="240" w:lineRule="auto"/>
      </w:pPr>
      <w:r>
        <w:t>Medida de la consistencia, método Vebe, según UNE 83 314/90</w:t>
      </w:r>
    </w:p>
    <w:p w:rsidR="00A44F63" w:rsidRDefault="00A44F63" w:rsidP="00A44F63">
      <w:pPr>
        <w:pStyle w:val="Prrafodelista"/>
        <w:numPr>
          <w:ilvl w:val="0"/>
          <w:numId w:val="22"/>
        </w:numPr>
        <w:spacing w:line="240" w:lineRule="auto"/>
      </w:pPr>
      <w:r>
        <w:t>Determinación de la densidad del hormigón fresco, según UNE 83 317/91</w:t>
      </w:r>
    </w:p>
    <w:p w:rsidR="00A44F63" w:rsidRDefault="00A44F63" w:rsidP="00A44F63">
      <w:pPr>
        <w:pStyle w:val="Ttulo3"/>
        <w:spacing w:before="200" w:line="240" w:lineRule="auto"/>
      </w:pPr>
      <w:r>
        <w:t>Periodicidad de control</w:t>
      </w:r>
    </w:p>
    <w:p w:rsidR="00A44F63" w:rsidRDefault="00A44F63" w:rsidP="00A44F63">
      <w:r>
        <w:t>Salvo en el caso de emplear hormigón preparado o de que se posea experiencia previa con los mismos materiales y medios de ejecución, siempre que el Director de Obra lo considere oportuno, será preceptivo la realización de los ensayos previos y característicos del hormigón, los cuales se efectuarán según las indicaciones de los Artículos 85 y 86 de la Instrucción EHE-08.</w:t>
      </w:r>
    </w:p>
    <w:p w:rsidR="00A44F63" w:rsidRDefault="00A44F63" w:rsidP="00A44F63">
      <w:r>
        <w:t>Los ensayos de control del hormigón se efectuarán mediante un control estadístico del mismo, aplicándose un nivel NORMAL (gc³1,5) con N, número mínimo de amasadas analizadas por lote, igual a dos.</w:t>
      </w:r>
    </w:p>
    <w:p w:rsidR="00A44F63" w:rsidRDefault="00A44F63" w:rsidP="00A44F63">
      <w:r>
        <w:t>Para la distribución de los lotes de control se empleará el cuadro 88.5.4.1 de la Instrucción EHE-08. Durante la ejecución se la obra la Dirección podrá modificar dicha distribución con el fin de adecuarla a la limitación "Tiempo de hormigonado" incluida en el mencionado cuadro.</w:t>
      </w:r>
    </w:p>
    <w:p w:rsidR="00A44F63" w:rsidRDefault="00A44F63" w:rsidP="00A44F63">
      <w:r>
        <w:t>El análisis de cada amasada conlleva la realización de los siguientes trabajos:</w:t>
      </w:r>
    </w:p>
    <w:p w:rsidR="00A44F63" w:rsidRDefault="00A44F63" w:rsidP="00A44F63">
      <w:pPr>
        <w:pStyle w:val="Prrafodelista"/>
        <w:numPr>
          <w:ilvl w:val="0"/>
          <w:numId w:val="23"/>
        </w:numPr>
        <w:spacing w:line="240" w:lineRule="auto"/>
      </w:pPr>
      <w:r>
        <w:t>Fabricación de cinco probetas cilíndricas de 15x30 cm.</w:t>
      </w:r>
    </w:p>
    <w:p w:rsidR="00A44F63" w:rsidRDefault="00A44F63" w:rsidP="00A44F63">
      <w:pPr>
        <w:pStyle w:val="Prrafodelista"/>
        <w:numPr>
          <w:ilvl w:val="0"/>
          <w:numId w:val="23"/>
        </w:numPr>
        <w:spacing w:line="240" w:lineRule="auto"/>
      </w:pPr>
      <w:r>
        <w:t>Medida de la consistencia por el método del Cono de Abrams.</w:t>
      </w:r>
    </w:p>
    <w:p w:rsidR="00A44F63" w:rsidRDefault="00A44F63" w:rsidP="00A44F63">
      <w:pPr>
        <w:pStyle w:val="Prrafodelista"/>
        <w:numPr>
          <w:ilvl w:val="0"/>
          <w:numId w:val="23"/>
        </w:numPr>
        <w:spacing w:line="240" w:lineRule="auto"/>
      </w:pPr>
      <w:r>
        <w:t>Curado en cámara húmeda y refrentado.</w:t>
      </w:r>
    </w:p>
    <w:p w:rsidR="00A44F63" w:rsidRDefault="00A44F63" w:rsidP="00A44F63">
      <w:pPr>
        <w:pStyle w:val="Prrafodelista"/>
        <w:numPr>
          <w:ilvl w:val="0"/>
          <w:numId w:val="23"/>
        </w:numPr>
        <w:spacing w:line="240" w:lineRule="auto"/>
      </w:pPr>
      <w:r>
        <w:t>Medida de la densidad de cada probeta.</w:t>
      </w:r>
    </w:p>
    <w:p w:rsidR="00A44F63" w:rsidRDefault="00A44F63" w:rsidP="00A44F63">
      <w:pPr>
        <w:pStyle w:val="Prrafodelista"/>
        <w:numPr>
          <w:ilvl w:val="0"/>
          <w:numId w:val="23"/>
        </w:numPr>
        <w:spacing w:line="240" w:lineRule="auto"/>
      </w:pPr>
      <w:r>
        <w:t>Ensayo a la compresión a las edades de 7 (dos probetas) y 28 (cuatro probetas) días.</w:t>
      </w:r>
    </w:p>
    <w:p w:rsidR="00A44F63" w:rsidRDefault="00A44F63" w:rsidP="00A44F63">
      <w:r>
        <w:t xml:space="preserve">El cálculo de la resistencia estimada del lote, </w:t>
      </w:r>
      <w:proofErr w:type="spellStart"/>
      <w:r>
        <w:t>f</w:t>
      </w:r>
      <w:r w:rsidRPr="00500E14">
        <w:rPr>
          <w:vertAlign w:val="subscript"/>
        </w:rPr>
        <w:t>est</w:t>
      </w:r>
      <w:proofErr w:type="spellEnd"/>
      <w:r>
        <w:t>, se realizará, según los criterios indicados en el apartado 86.5.4.2 de la Instrucción EHE-08, multiplicando el valor de KN correspondiente al N adoptado y clase de hormigón (cuadro 86.5.4.3.B) con el menor de los valores de la resistencia media (obtenida como la media de los resultados de un mínimo de dos probetas a la compresión a la edad de 28 días obtenidos en cada uno de los análisis de las dos amasadas constituyentes del lote.</w:t>
      </w:r>
    </w:p>
    <w:p w:rsidR="00A44F63" w:rsidRDefault="00A44F63" w:rsidP="00A44F63">
      <w:pPr>
        <w:pStyle w:val="Ttulo3"/>
        <w:spacing w:before="200" w:line="240" w:lineRule="auto"/>
      </w:pPr>
      <w:r>
        <w:lastRenderedPageBreak/>
        <w:t>Exención de ensayos</w:t>
      </w:r>
    </w:p>
    <w:p w:rsidR="00A44F63" w:rsidRDefault="00A44F63" w:rsidP="00A44F63">
      <w:r>
        <w:t>Solo cuando sean expresamente requeridos por la Dirección de Obra se realizarán los ensayos previos y característicos del hormigón.</w:t>
      </w:r>
    </w:p>
    <w:p w:rsidR="00A44F63" w:rsidRDefault="00A44F63" w:rsidP="00A44F63">
      <w:r>
        <w:t>Cuando los hormigones sean fabricados por una central en posesión de un Sello de Calidad oficialmente reconocido, se podrá reducir el muestreo al 50% de los lotes originales en las condiciones previstas en el apartado 86.5.4.1 de la Instrucción EHE.</w:t>
      </w:r>
    </w:p>
    <w:p w:rsidR="00A44F63" w:rsidRDefault="00A44F63" w:rsidP="00A44F63">
      <w:pPr>
        <w:pStyle w:val="Ttulo3"/>
        <w:spacing w:before="200" w:line="240" w:lineRule="auto"/>
      </w:pPr>
      <w:r>
        <w:t>Documentación</w:t>
      </w:r>
    </w:p>
    <w:p w:rsidR="00A44F63" w:rsidRDefault="00A44F63" w:rsidP="00A44F63">
      <w:r>
        <w:t>Previamente al comienzo del hormigonado y durante el mismo, el Contratista aportará la siguiente documentación, la cual deberá de ser aceptada por la Dirección de Obra.</w:t>
      </w:r>
    </w:p>
    <w:p w:rsidR="00A44F63" w:rsidRDefault="00A44F63" w:rsidP="00A44F63">
      <w:r>
        <w:t>Para hormigones elaborado en central:</w:t>
      </w:r>
    </w:p>
    <w:p w:rsidR="00A44F63" w:rsidRDefault="00A44F63" w:rsidP="00A44F63">
      <w:pPr>
        <w:pStyle w:val="Prrafodelista"/>
        <w:numPr>
          <w:ilvl w:val="0"/>
          <w:numId w:val="24"/>
        </w:numPr>
        <w:spacing w:line="240" w:lineRule="auto"/>
      </w:pPr>
      <w:r>
        <w:t>Certificado de inscripción en el Registro Industrial de Central H. Preparado</w:t>
      </w:r>
    </w:p>
    <w:p w:rsidR="00A44F63" w:rsidRDefault="00A44F63" w:rsidP="00A44F63">
      <w:pPr>
        <w:pStyle w:val="Prrafodelista"/>
        <w:numPr>
          <w:ilvl w:val="0"/>
          <w:numId w:val="24"/>
        </w:numPr>
        <w:spacing w:line="240" w:lineRule="auto"/>
      </w:pPr>
      <w:r>
        <w:t>Certificado de ensayos de control de producción de la central o Certificado de posesión de Sello de Calidad</w:t>
      </w:r>
    </w:p>
    <w:p w:rsidR="00A44F63" w:rsidRDefault="00A44F63" w:rsidP="00A44F63">
      <w:pPr>
        <w:pStyle w:val="Prrafodelista"/>
        <w:numPr>
          <w:ilvl w:val="0"/>
          <w:numId w:val="24"/>
        </w:numPr>
        <w:spacing w:line="240" w:lineRule="auto"/>
      </w:pPr>
      <w:r>
        <w:t>Copias de albaranes de entrega del hormigón.</w:t>
      </w:r>
    </w:p>
    <w:p w:rsidR="00A44F63" w:rsidRDefault="00A44F63" w:rsidP="00A44F63">
      <w:r>
        <w:t>Para hormigones fabricados "in situ":</w:t>
      </w:r>
    </w:p>
    <w:p w:rsidR="00A44F63" w:rsidRDefault="00A44F63" w:rsidP="00A44F63">
      <w:pPr>
        <w:pStyle w:val="Prrafodelista"/>
        <w:numPr>
          <w:ilvl w:val="0"/>
          <w:numId w:val="24"/>
        </w:numPr>
        <w:spacing w:line="240" w:lineRule="auto"/>
      </w:pPr>
      <w:r>
        <w:t>Certificado de ensayos previos y característicos del hormigón fabricado con las condiciones previstas para la obra.</w:t>
      </w:r>
    </w:p>
    <w:p w:rsidR="00A44F63" w:rsidRDefault="00A44F63" w:rsidP="00A44F63">
      <w:pPr>
        <w:pStyle w:val="Ttulo3"/>
        <w:spacing w:before="200" w:line="240" w:lineRule="auto"/>
      </w:pPr>
      <w:r>
        <w:t>Criterios de aceptación o rechazo.</w:t>
      </w:r>
    </w:p>
    <w:p w:rsidR="00A44F63" w:rsidRDefault="00A44F63" w:rsidP="00A44F63">
      <w:r>
        <w:t>La consistencia de cada amasada analizada estará comprendida dentro de la tolerancia correspondiente al tipo elegido en el Pliego de Condiciones Particulares. El incumplimiento de esta condición implicará el rechazo automático de la amasada.</w:t>
      </w:r>
    </w:p>
    <w:p w:rsidR="00A44F63" w:rsidRDefault="00A44F63" w:rsidP="00A44F63">
      <w:r>
        <w:t>Cuando la resistencia estimada de un lote (</w:t>
      </w:r>
      <w:proofErr w:type="spellStart"/>
      <w:r>
        <w:t>f</w:t>
      </w:r>
      <w:r w:rsidRPr="00500E14">
        <w:rPr>
          <w:vertAlign w:val="subscript"/>
        </w:rPr>
        <w:t>est</w:t>
      </w:r>
      <w:proofErr w:type="spellEnd"/>
      <w:r>
        <w:t>) sea inferior a la resistencia característica de proyecto (</w:t>
      </w:r>
      <w:proofErr w:type="spellStart"/>
      <w:r>
        <w:t>f</w:t>
      </w:r>
      <w:r w:rsidRPr="00500E14">
        <w:rPr>
          <w:vertAlign w:val="subscript"/>
        </w:rPr>
        <w:t>ck</w:t>
      </w:r>
      <w:proofErr w:type="spellEnd"/>
      <w:r>
        <w:t>) será de aplicación el apartado 86.5.4.3 de la Instrucción EHE-08.</w:t>
      </w:r>
    </w:p>
    <w:p w:rsidR="00A44F63" w:rsidRDefault="00A44F63" w:rsidP="00A44F63">
      <w:pPr>
        <w:pStyle w:val="Ttulo2"/>
        <w:spacing w:before="200" w:line="240" w:lineRule="auto"/>
      </w:pPr>
      <w:bookmarkStart w:id="25" w:name="_Toc517366238"/>
      <w:bookmarkStart w:id="26" w:name="_Toc536531069"/>
      <w:r>
        <w:t>ACERO CORRUGADO</w:t>
      </w:r>
      <w:bookmarkEnd w:id="25"/>
      <w:bookmarkEnd w:id="26"/>
    </w:p>
    <w:p w:rsidR="00A44F63" w:rsidRDefault="00A44F63" w:rsidP="00A44F63">
      <w:pPr>
        <w:pStyle w:val="Ttulo3"/>
        <w:spacing w:before="200" w:line="240" w:lineRule="auto"/>
      </w:pPr>
      <w:r>
        <w:t>Características técnicas</w:t>
      </w:r>
    </w:p>
    <w:p w:rsidR="00A44F63" w:rsidRDefault="00A44F63" w:rsidP="00A44F63">
      <w:r>
        <w:t xml:space="preserve">Las características técnicas de las barras de acero corrugado para el hormigón se incluyen en el Artículo de la Instrucción EHE-08 </w:t>
      </w:r>
    </w:p>
    <w:p w:rsidR="00A44F63" w:rsidRDefault="00A44F63" w:rsidP="00A44F63">
      <w:r>
        <w:t>En el caso particular de barras corrugadas de acero soldable se deberán tener en cuenta las características contempladas los capítulos 7 y 8 de la Norma UNE 36 068/94.</w:t>
      </w:r>
    </w:p>
    <w:p w:rsidR="00A44F63" w:rsidRDefault="00A44F63" w:rsidP="00A44F63">
      <w:pPr>
        <w:pStyle w:val="Ttulo3"/>
        <w:spacing w:before="200" w:line="240" w:lineRule="auto"/>
      </w:pPr>
      <w:r>
        <w:t>Toma de muestras</w:t>
      </w:r>
    </w:p>
    <w:p w:rsidR="00A44F63" w:rsidRDefault="00A44F63" w:rsidP="00A44F63">
      <w:r>
        <w:t>La toma de muestras de barras de acero soldable se realizará de acuerdo con el apartado 13.2.3 de la Norma UNE 36 068/94.</w:t>
      </w:r>
    </w:p>
    <w:p w:rsidR="00A44F63" w:rsidRPr="00500E14" w:rsidRDefault="00A44F63" w:rsidP="00A44F63">
      <w:r>
        <w:t>Cuando se trate de alambres corrugados la toma de muestras se realizara según la Norma UNE 36 400/81.</w:t>
      </w:r>
    </w:p>
    <w:p w:rsidR="00A44F63" w:rsidRDefault="00A44F63" w:rsidP="00A44F63">
      <w:pPr>
        <w:pStyle w:val="Ttulo3"/>
        <w:spacing w:before="200" w:line="240" w:lineRule="auto"/>
      </w:pPr>
      <w:r>
        <w:lastRenderedPageBreak/>
        <w:t>Ensayos de control</w:t>
      </w:r>
    </w:p>
    <w:p w:rsidR="00A44F63" w:rsidRDefault="00A44F63" w:rsidP="00A44F63">
      <w:r>
        <w:t>Los ensayos de control que se deban efectuar sobre muestras de acero corrugado para hormigón armado, se realizarán según las normas que se indican a continuación:</w:t>
      </w:r>
    </w:p>
    <w:p w:rsidR="00A44F63" w:rsidRDefault="00A44F63" w:rsidP="00A44F63">
      <w:pPr>
        <w:pStyle w:val="Prrafodelista"/>
        <w:numPr>
          <w:ilvl w:val="0"/>
          <w:numId w:val="24"/>
        </w:numPr>
        <w:spacing w:line="240" w:lineRule="auto"/>
      </w:pPr>
      <w:r>
        <w:t>Determinación del límite elástico, carga de rotura y alargamiento, según UNE 7 474 (1)/92.</w:t>
      </w:r>
    </w:p>
    <w:p w:rsidR="00A44F63" w:rsidRDefault="00A44F63" w:rsidP="00A44F63">
      <w:pPr>
        <w:pStyle w:val="Prrafodelista"/>
        <w:numPr>
          <w:ilvl w:val="0"/>
          <w:numId w:val="24"/>
        </w:numPr>
        <w:spacing w:line="240" w:lineRule="auto"/>
      </w:pPr>
      <w:r>
        <w:t>Determinación de la sección equivalente, según UNE 36 068/94 o UNE 36 099 (1)/86.</w:t>
      </w:r>
    </w:p>
    <w:p w:rsidR="00A44F63" w:rsidRDefault="00A44F63" w:rsidP="00A44F63">
      <w:pPr>
        <w:pStyle w:val="Prrafodelista"/>
        <w:numPr>
          <w:ilvl w:val="0"/>
          <w:numId w:val="24"/>
        </w:numPr>
        <w:spacing w:line="240" w:lineRule="auto"/>
      </w:pPr>
      <w:r>
        <w:t xml:space="preserve">Determinación de la </w:t>
      </w:r>
      <w:proofErr w:type="spellStart"/>
      <w:r>
        <w:t>ovalización</w:t>
      </w:r>
      <w:proofErr w:type="spellEnd"/>
      <w:r>
        <w:t>, según UNE 36 068/94 o UNE 36 099 (1)/86.</w:t>
      </w:r>
    </w:p>
    <w:p w:rsidR="00A44F63" w:rsidRDefault="00A44F63" w:rsidP="00A44F63">
      <w:pPr>
        <w:pStyle w:val="Prrafodelista"/>
        <w:numPr>
          <w:ilvl w:val="0"/>
          <w:numId w:val="24"/>
        </w:numPr>
        <w:spacing w:line="240" w:lineRule="auto"/>
      </w:pPr>
      <w:r>
        <w:t>Determinación de las características geométricas de los resaltos, según UNE 36 068/94 o UNE 36 099 (1)/86.</w:t>
      </w:r>
    </w:p>
    <w:p w:rsidR="00A44F63" w:rsidRDefault="00A44F63" w:rsidP="00A44F63">
      <w:pPr>
        <w:pStyle w:val="Prrafodelista"/>
        <w:numPr>
          <w:ilvl w:val="0"/>
          <w:numId w:val="24"/>
        </w:numPr>
        <w:spacing w:line="240" w:lineRule="auto"/>
      </w:pPr>
      <w:r>
        <w:t>Ensayo de doblado-desdoblado, según UNE 36 068/94 o UNE 36 099 (1)/86.</w:t>
      </w:r>
    </w:p>
    <w:p w:rsidR="00A44F63" w:rsidRDefault="00A44F63" w:rsidP="00A44F63">
      <w:pPr>
        <w:pStyle w:val="Prrafodelista"/>
        <w:numPr>
          <w:ilvl w:val="0"/>
          <w:numId w:val="24"/>
        </w:numPr>
        <w:spacing w:line="240" w:lineRule="auto"/>
      </w:pPr>
      <w:r>
        <w:t>Ensayo de aptitud al soldeo, según Apartado 90.4. de la Instrucción EHE.</w:t>
      </w:r>
    </w:p>
    <w:p w:rsidR="00A44F63" w:rsidRDefault="00A44F63" w:rsidP="00A44F63">
      <w:pPr>
        <w:pStyle w:val="Ttulo3"/>
        <w:spacing w:before="200" w:line="240" w:lineRule="auto"/>
      </w:pPr>
      <w:r>
        <w:t>Periodicidad de control</w:t>
      </w:r>
    </w:p>
    <w:p w:rsidR="00A44F63" w:rsidRDefault="00A44F63" w:rsidP="00A44F63">
      <w:r>
        <w:t>Al considerar un nivel de control normal (</w:t>
      </w:r>
      <w:proofErr w:type="spellStart"/>
      <w:r>
        <w:t>gS</w:t>
      </w:r>
      <w:proofErr w:type="spellEnd"/>
      <w:r>
        <w:t>=1,15), la cantidad suministrada a la obra y separada por diámetros se dividirá en lotes de 20 Tm, o fracción, realizándose, sobre una muestra aleatoria del lote, los siguientes ensayos:</w:t>
      </w:r>
    </w:p>
    <w:p w:rsidR="00A44F63" w:rsidRDefault="00A44F63" w:rsidP="00A44F63">
      <w:pPr>
        <w:pStyle w:val="Prrafodelista"/>
        <w:numPr>
          <w:ilvl w:val="0"/>
          <w:numId w:val="25"/>
        </w:numPr>
        <w:spacing w:line="240" w:lineRule="auto"/>
      </w:pPr>
      <w:r>
        <w:t xml:space="preserve">Determinación de la sección equivalente y </w:t>
      </w:r>
      <w:proofErr w:type="spellStart"/>
      <w:r>
        <w:t>ovalidad</w:t>
      </w:r>
      <w:proofErr w:type="spellEnd"/>
      <w:r>
        <w:t>.</w:t>
      </w:r>
    </w:p>
    <w:p w:rsidR="00A44F63" w:rsidRDefault="00A44F63" w:rsidP="00A44F63">
      <w:pPr>
        <w:pStyle w:val="Prrafodelista"/>
        <w:numPr>
          <w:ilvl w:val="0"/>
          <w:numId w:val="25"/>
        </w:numPr>
        <w:spacing w:line="240" w:lineRule="auto"/>
      </w:pPr>
      <w:r>
        <w:t>Determinación de las características geométricas del corrugado.</w:t>
      </w:r>
    </w:p>
    <w:p w:rsidR="00A44F63" w:rsidRDefault="00A44F63" w:rsidP="00A44F63">
      <w:pPr>
        <w:pStyle w:val="Prrafodelista"/>
        <w:numPr>
          <w:ilvl w:val="0"/>
          <w:numId w:val="25"/>
        </w:numPr>
        <w:spacing w:line="240" w:lineRule="auto"/>
      </w:pPr>
      <w:r>
        <w:t>Ensayo de doblado desdoblado.</w:t>
      </w:r>
    </w:p>
    <w:p w:rsidR="00A44F63" w:rsidRDefault="00A44F63" w:rsidP="00A44F63">
      <w:r>
        <w:t>Además, por cada diámetro empleado en la obra se realizarán, como mínimo, dos ensayos de tracción.</w:t>
      </w:r>
    </w:p>
    <w:p w:rsidR="00A44F63" w:rsidRDefault="00A44F63" w:rsidP="00A44F63">
      <w:r>
        <w:t>Finalmente, en el caso de existir empalmes por soldadura, se verificará la aptitud al soldeo en obra previamente al comienzo de la misma.</w:t>
      </w:r>
    </w:p>
    <w:p w:rsidR="00A44F63" w:rsidRDefault="00A44F63" w:rsidP="00A44F63">
      <w:pPr>
        <w:pStyle w:val="Ttulo3"/>
        <w:spacing w:before="200" w:line="240" w:lineRule="auto"/>
      </w:pPr>
      <w:r>
        <w:t>Exención de ensayos</w:t>
      </w:r>
    </w:p>
    <w:p w:rsidR="00A44F63" w:rsidRDefault="00A44F63" w:rsidP="00A44F63">
      <w:r>
        <w:t>Cuando los diámetros del acero corrugado empleado en la obra ostenten un Sello de Conformidad homologado por el Ministerio de Obras Públicas y Transportes o bien en un Estado miembro de la Comunidad Económica Europea que tenga un nivel de seguridad equivalente, el muestreo se realizará sobre lotes de 20 Tm, o fracción, del total del acero procedente de un mismo fabricante. De la misma forma la comprobación de las características mecánicas se disminuirá a un ensayo por marca de acero empleado.</w:t>
      </w:r>
    </w:p>
    <w:p w:rsidR="00A44F63" w:rsidRDefault="00A44F63" w:rsidP="00A44F63">
      <w:pPr>
        <w:pStyle w:val="Ttulo3"/>
        <w:spacing w:before="200" w:line="240" w:lineRule="auto"/>
      </w:pPr>
      <w:r>
        <w:t>Documentación</w:t>
      </w:r>
    </w:p>
    <w:p w:rsidR="00A44F63" w:rsidRDefault="00A44F63" w:rsidP="00A44F63">
      <w:r>
        <w:t>El Contratista aportará, durante el transcurso de la obra, la siguiente documentación.</w:t>
      </w:r>
    </w:p>
    <w:p w:rsidR="00A44F63" w:rsidRDefault="00A44F63" w:rsidP="00A44F63">
      <w:pPr>
        <w:pStyle w:val="Prrafodelista"/>
        <w:numPr>
          <w:ilvl w:val="0"/>
          <w:numId w:val="26"/>
        </w:numPr>
        <w:spacing w:line="240" w:lineRule="auto"/>
      </w:pPr>
      <w:r>
        <w:t>Certificado de homologación de adherencia o certificado de posesión del Sello de Conformidad.</w:t>
      </w:r>
    </w:p>
    <w:p w:rsidR="00A44F63" w:rsidRDefault="00A44F63" w:rsidP="00A44F63">
      <w:pPr>
        <w:pStyle w:val="Prrafodelista"/>
        <w:numPr>
          <w:ilvl w:val="0"/>
          <w:numId w:val="26"/>
        </w:numPr>
        <w:spacing w:line="240" w:lineRule="auto"/>
      </w:pPr>
      <w:r>
        <w:t>Certificado de garantía de cada partida.</w:t>
      </w:r>
    </w:p>
    <w:p w:rsidR="00A44F63" w:rsidRDefault="00A44F63" w:rsidP="00A44F63">
      <w:pPr>
        <w:pStyle w:val="Prrafodelista"/>
        <w:numPr>
          <w:ilvl w:val="0"/>
          <w:numId w:val="26"/>
        </w:numPr>
        <w:spacing w:line="240" w:lineRule="auto"/>
      </w:pPr>
      <w:r>
        <w:t>Copia de los albaranes de entrega de cada partida.</w:t>
      </w:r>
    </w:p>
    <w:p w:rsidR="00A44F63" w:rsidRPr="00854B0E" w:rsidRDefault="00A44F63" w:rsidP="00A44F63"/>
    <w:p w:rsidR="00A44F63" w:rsidRDefault="00A44F63" w:rsidP="00A44F63">
      <w:pPr>
        <w:pStyle w:val="Ttulo3"/>
        <w:spacing w:before="200" w:line="240" w:lineRule="auto"/>
      </w:pPr>
      <w:r>
        <w:lastRenderedPageBreak/>
        <w:t>Criterios de aceptación o rechazo</w:t>
      </w:r>
    </w:p>
    <w:p w:rsidR="00A44F63" w:rsidRDefault="00A44F63" w:rsidP="00A44F63">
      <w:r>
        <w:t>Será de aplicación el contenido del apartado 90.5 de la Instrucción EHE. No obstante, en el caso particular de barras de acero soldable el Director de Obra podrá aplicar los criterios contenidos en el apartado 13.2.5 de la Norma UNE 36 068/94.</w:t>
      </w:r>
    </w:p>
    <w:p w:rsidR="00A44F63" w:rsidRDefault="00A44F63" w:rsidP="00A44F63">
      <w:pPr>
        <w:pStyle w:val="Ttulo2"/>
        <w:spacing w:before="200" w:line="240" w:lineRule="auto"/>
      </w:pPr>
      <w:bookmarkStart w:id="27" w:name="_Toc517366239"/>
      <w:bookmarkStart w:id="28" w:name="_Toc536531070"/>
      <w:r>
        <w:t>MALLA ELECTROSOLDADA</w:t>
      </w:r>
      <w:bookmarkEnd w:id="27"/>
      <w:bookmarkEnd w:id="28"/>
    </w:p>
    <w:p w:rsidR="00A44F63" w:rsidRDefault="00A44F63" w:rsidP="00A44F63">
      <w:pPr>
        <w:pStyle w:val="Ttulo3"/>
        <w:spacing w:before="200" w:line="240" w:lineRule="auto"/>
      </w:pPr>
      <w:r>
        <w:t>Características técnicas</w:t>
      </w:r>
    </w:p>
    <w:p w:rsidR="00A44F63" w:rsidRDefault="00A44F63" w:rsidP="00A44F63">
      <w:r>
        <w:t>Las características que deben cumplir las mallas electrosoldadas están prescritas en la Norma UNE 36 092 (1)/81.</w:t>
      </w:r>
    </w:p>
    <w:p w:rsidR="00A44F63" w:rsidRDefault="00A44F63" w:rsidP="00A44F63">
      <w:pPr>
        <w:pStyle w:val="Ttulo3"/>
        <w:spacing w:before="200" w:line="240" w:lineRule="auto"/>
      </w:pPr>
      <w:r>
        <w:t>Toma de muestras</w:t>
      </w:r>
    </w:p>
    <w:p w:rsidR="00A44F63" w:rsidRDefault="00A44F63" w:rsidP="00A44F63">
      <w:r>
        <w:t>La toma de muestras de mallas electrosoldadas se realizará de acuerdo con las indicaciones contempladas en la Norma UNE 36 092 (1)/81.</w:t>
      </w:r>
    </w:p>
    <w:p w:rsidR="00A44F63" w:rsidRDefault="00A44F63" w:rsidP="00A44F63">
      <w:pPr>
        <w:pStyle w:val="Ttulo3"/>
        <w:spacing w:before="200" w:line="240" w:lineRule="auto"/>
      </w:pPr>
      <w:r>
        <w:t>Ensayos de control</w:t>
      </w:r>
    </w:p>
    <w:p w:rsidR="00A44F63" w:rsidRDefault="00A44F63" w:rsidP="00A44F63">
      <w:r>
        <w:t>Los ensayos de control que se deban efectuar sobre muestras de mallas electrosoldadas se realizarán según las normas que se indican a continuación:</w:t>
      </w:r>
    </w:p>
    <w:p w:rsidR="00A44F63" w:rsidRDefault="00A44F63" w:rsidP="00A44F63">
      <w:pPr>
        <w:pStyle w:val="Prrafodelista"/>
        <w:numPr>
          <w:ilvl w:val="0"/>
          <w:numId w:val="27"/>
        </w:numPr>
        <w:spacing w:line="240" w:lineRule="auto"/>
      </w:pPr>
      <w:r>
        <w:t>Características geométricas de la malla electrosoldada, según UNE 36 096 (1)/81.</w:t>
      </w:r>
    </w:p>
    <w:p w:rsidR="00A44F63" w:rsidRDefault="00A44F63" w:rsidP="00A44F63">
      <w:pPr>
        <w:pStyle w:val="Prrafodelista"/>
        <w:numPr>
          <w:ilvl w:val="0"/>
          <w:numId w:val="27"/>
        </w:numPr>
        <w:spacing w:line="240" w:lineRule="auto"/>
      </w:pPr>
      <w:r>
        <w:t>Ensayo de doblado simple, según UNE 7 472/89</w:t>
      </w:r>
    </w:p>
    <w:p w:rsidR="00A44F63" w:rsidRDefault="00A44F63" w:rsidP="00A44F63">
      <w:pPr>
        <w:pStyle w:val="Prrafodelista"/>
        <w:numPr>
          <w:ilvl w:val="0"/>
          <w:numId w:val="27"/>
        </w:numPr>
        <w:spacing w:line="240" w:lineRule="auto"/>
      </w:pPr>
      <w:r>
        <w:t>Ensayo de tracción, según UNE 7 474 (1)/92</w:t>
      </w:r>
    </w:p>
    <w:p w:rsidR="00A44F63" w:rsidRDefault="00A44F63" w:rsidP="00A44F63">
      <w:pPr>
        <w:pStyle w:val="Prrafodelista"/>
        <w:numPr>
          <w:ilvl w:val="0"/>
          <w:numId w:val="27"/>
        </w:numPr>
        <w:spacing w:line="240" w:lineRule="auto"/>
      </w:pPr>
      <w:r>
        <w:t>Despegue de nudo, según UNE 36 462/80</w:t>
      </w:r>
    </w:p>
    <w:p w:rsidR="00A44F63" w:rsidRDefault="00A44F63" w:rsidP="00A44F63">
      <w:pPr>
        <w:pStyle w:val="Ttulo3"/>
        <w:spacing w:before="200" w:line="240" w:lineRule="auto"/>
      </w:pPr>
      <w:r>
        <w:t>Periodicidad de control</w:t>
      </w:r>
    </w:p>
    <w:p w:rsidR="00A44F63" w:rsidRDefault="00A44F63" w:rsidP="00A44F63">
      <w:r>
        <w:t>Para la comprobación de las características geométricas de la malla se seleccionará, de cada tipo de panel, una unidad cada 20 Tm, o fracción.</w:t>
      </w:r>
    </w:p>
    <w:p w:rsidR="00A44F63" w:rsidRDefault="00A44F63" w:rsidP="00A44F63">
      <w:r>
        <w:t>La realización de los ensayos b) y d) se efectuarán sobre un panel recogido al azar de la unidad de inspección, la cual estará compuesta por todas las mallas cuyos elementos sean del mismo diámetro y del mismo tipo de acero, con independencia de que estos elementos formen parte de mallas de distintas dimensiones (UNE 36 092 (2)/81).</w:t>
      </w:r>
    </w:p>
    <w:p w:rsidR="00A44F63" w:rsidRDefault="00A44F63" w:rsidP="00A44F63">
      <w:r>
        <w:t>El ensayo de tracción de los alambres componentes de la malla se efectuará, como mínimo, en dos ocasiones para cada diámetro empleado.</w:t>
      </w:r>
    </w:p>
    <w:p w:rsidR="00A44F63" w:rsidRDefault="00A44F63" w:rsidP="00A44F63">
      <w:pPr>
        <w:pStyle w:val="Ttulo3"/>
        <w:spacing w:before="200" w:line="240" w:lineRule="auto"/>
      </w:pPr>
      <w:r>
        <w:t>Exención de ensayos</w:t>
      </w:r>
    </w:p>
    <w:p w:rsidR="00A44F63" w:rsidRDefault="00A44F63" w:rsidP="00A44F63">
      <w:r>
        <w:t>Cuando la malla electrosoldada disponga de un Sello de Conformidad homologado se ampliará el muestreo, indicado en el apartado anterior, a 40 t, o fracción. Los ensayos de tracción de los alambres se reducirán a uno por diámetro.</w:t>
      </w:r>
    </w:p>
    <w:p w:rsidR="00A44F63" w:rsidRDefault="00A44F63" w:rsidP="00A44F63">
      <w:pPr>
        <w:pStyle w:val="Ttulo3"/>
        <w:spacing w:before="200" w:line="240" w:lineRule="auto"/>
      </w:pPr>
      <w:r>
        <w:t>Documentación</w:t>
      </w:r>
    </w:p>
    <w:p w:rsidR="00A44F63" w:rsidRDefault="00A44F63" w:rsidP="00A44F63">
      <w:r>
        <w:t>El contratista aportará, durante el transcurso de la obra, la siguiente documentación:</w:t>
      </w:r>
    </w:p>
    <w:p w:rsidR="00A44F63" w:rsidRDefault="00A44F63" w:rsidP="00A44F63">
      <w:pPr>
        <w:pStyle w:val="Prrafodelista"/>
        <w:numPr>
          <w:ilvl w:val="0"/>
          <w:numId w:val="28"/>
        </w:numPr>
        <w:spacing w:line="240" w:lineRule="auto"/>
      </w:pPr>
      <w:r>
        <w:lastRenderedPageBreak/>
        <w:t>Certificado de las características del material según UNE 36 007/77 o Certificado de posesión de Sello de Conformidad.</w:t>
      </w:r>
    </w:p>
    <w:p w:rsidR="00A44F63" w:rsidRDefault="00A44F63" w:rsidP="00A44F63">
      <w:pPr>
        <w:pStyle w:val="Prrafodelista"/>
        <w:numPr>
          <w:ilvl w:val="0"/>
          <w:numId w:val="28"/>
        </w:numPr>
        <w:spacing w:line="240" w:lineRule="auto"/>
      </w:pPr>
      <w:r>
        <w:t>Copia de los albaranes de entrega de cada partida.</w:t>
      </w:r>
    </w:p>
    <w:p w:rsidR="00A44F63" w:rsidRDefault="00A44F63" w:rsidP="00A44F63">
      <w:pPr>
        <w:pStyle w:val="Prrafodelista"/>
        <w:numPr>
          <w:ilvl w:val="0"/>
          <w:numId w:val="28"/>
        </w:numPr>
        <w:spacing w:line="240" w:lineRule="auto"/>
      </w:pPr>
      <w:r>
        <w:t>Documento que acredite la posesión de Sello de Calidad</w:t>
      </w:r>
    </w:p>
    <w:p w:rsidR="00A44F63" w:rsidRDefault="00A44F63" w:rsidP="00A44F63">
      <w:pPr>
        <w:pStyle w:val="Ttulo3"/>
        <w:spacing w:before="200" w:line="240" w:lineRule="auto"/>
      </w:pPr>
      <w:r>
        <w:t>Criterios de aceptación o rechazo</w:t>
      </w:r>
    </w:p>
    <w:p w:rsidR="00A44F63" w:rsidRDefault="00A44F63" w:rsidP="00A44F63">
      <w:r>
        <w:t>Será de aplicación el contenido del capítulo 5 de la Norma UNE 36 092 (2)/81.</w:t>
      </w:r>
    </w:p>
    <w:p w:rsidR="00A44F63" w:rsidRDefault="00A44F63" w:rsidP="00A44F63">
      <w:pPr>
        <w:pStyle w:val="Ttulo2"/>
        <w:spacing w:before="200" w:line="240" w:lineRule="auto"/>
      </w:pPr>
      <w:bookmarkStart w:id="29" w:name="_Toc517366240"/>
      <w:bookmarkStart w:id="30" w:name="_Toc536531071"/>
      <w:r>
        <w:t>RELLENOS, BASES Y SUBBASES</w:t>
      </w:r>
      <w:bookmarkEnd w:id="29"/>
      <w:bookmarkEnd w:id="30"/>
    </w:p>
    <w:p w:rsidR="00A44F63" w:rsidRDefault="00A44F63" w:rsidP="00A44F63">
      <w:pPr>
        <w:pStyle w:val="Ttulo3"/>
        <w:spacing w:before="200" w:line="240" w:lineRule="auto"/>
      </w:pPr>
      <w:r>
        <w:t>Características técnicas</w:t>
      </w:r>
    </w:p>
    <w:p w:rsidR="00A44F63" w:rsidRDefault="00A44F63" w:rsidP="00A44F63">
      <w:r>
        <w:t>En el Pliego de Condiciones Particulares de la Obra se clasifican, según su puesta en obra, los distintos tipos de suelos a emplear en la obra. Las características que deben de cumplir los suelos, en función de la clasificación anteriormente mencionada, están descritas en los Artículos 330, 331 y 332 del Pliego PG3.</w:t>
      </w:r>
    </w:p>
    <w:p w:rsidR="00A44F63" w:rsidRDefault="00A44F63" w:rsidP="00A44F63">
      <w:r>
        <w:t>En el caso de las capas de subbase o base, serán de aplicación las exigencias contempladas en el Artículo 333 del Pliego PG3.</w:t>
      </w:r>
    </w:p>
    <w:p w:rsidR="00A44F63" w:rsidRDefault="00A44F63" w:rsidP="00A44F63">
      <w:r>
        <w:t>En el Pliego de Condiciones Particulares de la Obra se definen los niveles de compactación exigidos para cada tipo de material.</w:t>
      </w:r>
    </w:p>
    <w:p w:rsidR="00A44F63" w:rsidRDefault="00A44F63" w:rsidP="00A44F63">
      <w:pPr>
        <w:pStyle w:val="Ttulo3"/>
        <w:spacing w:before="200" w:line="240" w:lineRule="auto"/>
      </w:pPr>
      <w:r>
        <w:t>Preparación de las muestras para ensayo</w:t>
      </w:r>
    </w:p>
    <w:p w:rsidR="00A44F63" w:rsidRDefault="00A44F63" w:rsidP="00A44F63">
      <w:r>
        <w:t>Las muestras de suelos o materiales granulares se someterán al proceso de preparación descrito en la Norma NLT 101/72.</w:t>
      </w:r>
    </w:p>
    <w:p w:rsidR="00A44F63" w:rsidRDefault="00A44F63" w:rsidP="00A44F63">
      <w:pPr>
        <w:pStyle w:val="Ttulo3"/>
        <w:spacing w:before="200" w:line="240" w:lineRule="auto"/>
      </w:pPr>
      <w:r>
        <w:t>Ensayos de control</w:t>
      </w:r>
    </w:p>
    <w:p w:rsidR="00A44F63" w:rsidRDefault="00A44F63" w:rsidP="00A44F63">
      <w:r>
        <w:t>Los métodos de ensayo empleados para la caracterización de los suelos y materiales granulares empleados serán los siguientes:</w:t>
      </w:r>
    </w:p>
    <w:p w:rsidR="00A44F63" w:rsidRDefault="00A44F63" w:rsidP="00A44F63">
      <w:r>
        <w:t>Ensayos para determinar las características de los materiales:</w:t>
      </w:r>
    </w:p>
    <w:p w:rsidR="00A44F63" w:rsidRDefault="00A44F63" w:rsidP="00A44F63">
      <w:pPr>
        <w:pStyle w:val="Prrafodelista"/>
        <w:numPr>
          <w:ilvl w:val="0"/>
          <w:numId w:val="29"/>
        </w:numPr>
        <w:spacing w:after="160"/>
      </w:pPr>
      <w:r>
        <w:t>Análisis granulométrico, según NLT 104/91.</w:t>
      </w:r>
    </w:p>
    <w:p w:rsidR="00A44F63" w:rsidRDefault="00A44F63" w:rsidP="00A44F63">
      <w:pPr>
        <w:pStyle w:val="Prrafodelista"/>
        <w:numPr>
          <w:ilvl w:val="0"/>
          <w:numId w:val="29"/>
        </w:numPr>
        <w:spacing w:after="160"/>
      </w:pPr>
      <w:r>
        <w:t>Determinación de límite líquido, según NLT 105/91.</w:t>
      </w:r>
    </w:p>
    <w:p w:rsidR="00A44F63" w:rsidRDefault="00A44F63" w:rsidP="00A44F63">
      <w:pPr>
        <w:pStyle w:val="Prrafodelista"/>
        <w:numPr>
          <w:ilvl w:val="0"/>
          <w:numId w:val="29"/>
        </w:numPr>
        <w:spacing w:after="160"/>
      </w:pPr>
      <w:r>
        <w:t>Determinación del Límite plástico, según NLT 106/91.</w:t>
      </w:r>
    </w:p>
    <w:p w:rsidR="00A44F63" w:rsidRDefault="00A44F63" w:rsidP="00A44F63">
      <w:pPr>
        <w:pStyle w:val="Prrafodelista"/>
        <w:numPr>
          <w:ilvl w:val="0"/>
          <w:numId w:val="29"/>
        </w:numPr>
        <w:spacing w:after="160"/>
      </w:pPr>
      <w:r>
        <w:t>Proctor Normal, según NLT 107/91.</w:t>
      </w:r>
    </w:p>
    <w:p w:rsidR="00A44F63" w:rsidRDefault="00A44F63" w:rsidP="00A44F63">
      <w:pPr>
        <w:pStyle w:val="Prrafodelista"/>
        <w:numPr>
          <w:ilvl w:val="0"/>
          <w:numId w:val="29"/>
        </w:numPr>
        <w:spacing w:after="160"/>
      </w:pPr>
      <w:r>
        <w:t>Proctor Modificado, según NLT 108/91.</w:t>
      </w:r>
    </w:p>
    <w:p w:rsidR="00A44F63" w:rsidRDefault="00A44F63" w:rsidP="00A44F63">
      <w:pPr>
        <w:pStyle w:val="Prrafodelista"/>
        <w:numPr>
          <w:ilvl w:val="0"/>
          <w:numId w:val="29"/>
        </w:numPr>
        <w:spacing w:after="160"/>
      </w:pPr>
      <w:r>
        <w:t>Determinación del índice CBR de laboratorio, según NLT 111/87.</w:t>
      </w:r>
    </w:p>
    <w:p w:rsidR="00A44F63" w:rsidRDefault="00A44F63" w:rsidP="00A44F63">
      <w:pPr>
        <w:pStyle w:val="Prrafodelista"/>
        <w:numPr>
          <w:ilvl w:val="0"/>
          <w:numId w:val="29"/>
        </w:numPr>
        <w:spacing w:after="160"/>
      </w:pPr>
      <w:r>
        <w:t>Determinación del equivalente de arena, según NLT 113/87.</w:t>
      </w:r>
    </w:p>
    <w:p w:rsidR="00A44F63" w:rsidRDefault="00A44F63" w:rsidP="00A44F63">
      <w:pPr>
        <w:pStyle w:val="Prrafodelista"/>
        <w:numPr>
          <w:ilvl w:val="0"/>
          <w:numId w:val="29"/>
        </w:numPr>
        <w:spacing w:after="160"/>
      </w:pPr>
      <w:r>
        <w:t>Contenido en materia orgánica, según NLT 117/72.</w:t>
      </w:r>
    </w:p>
    <w:p w:rsidR="00A44F63" w:rsidRDefault="00A44F63" w:rsidP="00A44F63">
      <w:pPr>
        <w:pStyle w:val="Prrafodelista"/>
        <w:numPr>
          <w:ilvl w:val="0"/>
          <w:numId w:val="29"/>
        </w:numPr>
        <w:spacing w:after="160"/>
      </w:pPr>
      <w:r>
        <w:t>Determinación de la resistencia al desgaste Los Ángeles, según NLT 149/91.</w:t>
      </w:r>
    </w:p>
    <w:p w:rsidR="00A44F63" w:rsidRDefault="00A44F63" w:rsidP="00A44F63">
      <w:pPr>
        <w:pStyle w:val="Prrafodelista"/>
        <w:numPr>
          <w:ilvl w:val="0"/>
          <w:numId w:val="29"/>
        </w:numPr>
        <w:spacing w:after="160"/>
      </w:pPr>
      <w:r>
        <w:t>Caras de fractura, según NLT 358/90.</w:t>
      </w:r>
    </w:p>
    <w:p w:rsidR="00A44F63" w:rsidRDefault="00A44F63" w:rsidP="00A44F63">
      <w:r>
        <w:t>Nota: Se podrán utilizar los métodos de ensayo UNE correspondientes al comité de normalización 103 cuando sean equivalentes a las anteriores.</w:t>
      </w:r>
    </w:p>
    <w:p w:rsidR="00A44F63" w:rsidRDefault="00A44F63" w:rsidP="00A44F63">
      <w:r>
        <w:lastRenderedPageBreak/>
        <w:t>Ensayos para determinar las características de puesta en obra:</w:t>
      </w:r>
    </w:p>
    <w:p w:rsidR="00A44F63" w:rsidRDefault="00A44F63" w:rsidP="00A44F63">
      <w:pPr>
        <w:pStyle w:val="Prrafodelista"/>
        <w:numPr>
          <w:ilvl w:val="0"/>
          <w:numId w:val="29"/>
        </w:numPr>
        <w:spacing w:after="160"/>
      </w:pPr>
      <w:r>
        <w:t>Determinación de la densidad "in situ", según ASTM D-3017.</w:t>
      </w:r>
    </w:p>
    <w:p w:rsidR="00A44F63" w:rsidRDefault="00A44F63" w:rsidP="00A44F63">
      <w:pPr>
        <w:pStyle w:val="Prrafodelista"/>
        <w:numPr>
          <w:ilvl w:val="0"/>
          <w:numId w:val="29"/>
        </w:numPr>
        <w:spacing w:after="160"/>
      </w:pPr>
      <w:r>
        <w:t>Ensayo de carga con placa, según DIN 18 134.</w:t>
      </w:r>
    </w:p>
    <w:p w:rsidR="00A44F63" w:rsidRDefault="00A44F63" w:rsidP="00A44F63">
      <w:r>
        <w:t>Los trabajos de compactación del terraplén serán supervisados por un Técnico capacitado, el cual analizará los datos obtenidos en los ensayos así como los espesores de cada tongada.</w:t>
      </w:r>
    </w:p>
    <w:p w:rsidR="00A44F63" w:rsidRDefault="00A44F63" w:rsidP="00A44F63">
      <w:pPr>
        <w:pStyle w:val="Ttulo3"/>
        <w:spacing w:before="200" w:line="240" w:lineRule="auto"/>
      </w:pPr>
      <w:r>
        <w:t>Periodicidad de control</w:t>
      </w:r>
    </w:p>
    <w:p w:rsidR="00A44F63" w:rsidRDefault="00A44F63" w:rsidP="00A44F63">
      <w:r>
        <w:t>Por cada 5.000 m³ o fracción del material, cuando se aprecien cambios cualitativos en la composición, antes del comienzo de la puesta en obra para los rellenos, bases y  subbases o cuando el Director de Obra lo considere necesario se efectuarán los siguientes ensayos de caracterización de los suelos o de los materiales granulares:</w:t>
      </w:r>
    </w:p>
    <w:p w:rsidR="00A44F63" w:rsidRPr="00AC16A1" w:rsidRDefault="00A44F63" w:rsidP="00A44F63">
      <w:pPr>
        <w:pStyle w:val="Prrafodelista"/>
        <w:numPr>
          <w:ilvl w:val="0"/>
          <w:numId w:val="30"/>
        </w:numPr>
        <w:spacing w:line="240" w:lineRule="auto"/>
        <w:rPr>
          <w:lang w:val="pt-PT"/>
        </w:rPr>
      </w:pPr>
      <w:r w:rsidRPr="00AC16A1">
        <w:rPr>
          <w:lang w:val="pt-PT"/>
        </w:rPr>
        <w:t>Suelos: ensayos a), b), c), d), f) e h).</w:t>
      </w:r>
    </w:p>
    <w:p w:rsidR="00A44F63" w:rsidRPr="00AC16A1" w:rsidRDefault="00A44F63" w:rsidP="00A44F63">
      <w:pPr>
        <w:pStyle w:val="Prrafodelista"/>
        <w:numPr>
          <w:ilvl w:val="0"/>
          <w:numId w:val="30"/>
        </w:numPr>
        <w:spacing w:line="240" w:lineRule="auto"/>
        <w:rPr>
          <w:lang w:val="pt-PT"/>
        </w:rPr>
      </w:pPr>
      <w:r w:rsidRPr="00AC16A1">
        <w:rPr>
          <w:lang w:val="pt-PT"/>
        </w:rPr>
        <w:t>Subbases: ensayos a), b), c), e), f), g) y h).</w:t>
      </w:r>
    </w:p>
    <w:p w:rsidR="00A44F63" w:rsidRPr="00AC16A1" w:rsidRDefault="00A44F63" w:rsidP="00A44F63">
      <w:pPr>
        <w:pStyle w:val="Prrafodelista"/>
        <w:numPr>
          <w:ilvl w:val="0"/>
          <w:numId w:val="30"/>
        </w:numPr>
        <w:spacing w:line="240" w:lineRule="auto"/>
        <w:rPr>
          <w:lang w:val="pt-PT"/>
        </w:rPr>
      </w:pPr>
      <w:r w:rsidRPr="00AC16A1">
        <w:rPr>
          <w:lang w:val="pt-PT"/>
        </w:rPr>
        <w:t>Bases: ensayos a), b), c), e), g), i) y j).</w:t>
      </w:r>
    </w:p>
    <w:p w:rsidR="00A44F63" w:rsidRDefault="00A44F63" w:rsidP="00A44F63">
      <w:r>
        <w:t>Durante la obra se realizarán los siguientes ensayos de control de compactación de los materiales:</w:t>
      </w:r>
    </w:p>
    <w:p w:rsidR="00A44F63" w:rsidRDefault="00A44F63" w:rsidP="00A44F63">
      <w:pPr>
        <w:pStyle w:val="Prrafodelista"/>
        <w:numPr>
          <w:ilvl w:val="0"/>
          <w:numId w:val="30"/>
        </w:numPr>
        <w:spacing w:line="240" w:lineRule="auto"/>
      </w:pPr>
      <w:r>
        <w:t>Suelos: 5 unidades de determinación de la densidad "in situ" por cada 5.000 m² extendidos en terraplén y cada 3.500 en coronación, por tongada. La Dirección de Obra confirmará la ejecución de ensayos de carga con placa en cada uno se los lotes formados.</w:t>
      </w:r>
    </w:p>
    <w:p w:rsidR="00A44F63" w:rsidRDefault="00A44F63" w:rsidP="00A44F63">
      <w:pPr>
        <w:pStyle w:val="Prrafodelista"/>
        <w:numPr>
          <w:ilvl w:val="0"/>
          <w:numId w:val="30"/>
        </w:numPr>
        <w:spacing w:line="240" w:lineRule="auto"/>
      </w:pPr>
      <w:r>
        <w:t>Subbase y base: 5 unidades de determinación de la densidad "in situ" y un ensayo de carga con placa por cada 3.500 m² extendidos.</w:t>
      </w:r>
    </w:p>
    <w:p w:rsidR="00A44F63" w:rsidRDefault="00A44F63" w:rsidP="00A44F63">
      <w:pPr>
        <w:pStyle w:val="Ttulo3"/>
        <w:spacing w:before="200" w:line="240" w:lineRule="auto"/>
      </w:pPr>
      <w:r>
        <w:t>Exención de ensayos</w:t>
      </w:r>
    </w:p>
    <w:p w:rsidR="00A44F63" w:rsidRDefault="00A44F63" w:rsidP="00A44F63">
      <w:r>
        <w:t>Los ensayos previos al inicio del extendido correspondiente a la subbase y/o base cuya procedencia sea de cantera o gravera comercial podrán ser sustituidos por un informe de ensayo realizado por un laboratorio acreditado cuya fecha de emisión sea posterior a los seis meses anteriores al inicio de la obra.</w:t>
      </w:r>
    </w:p>
    <w:p w:rsidR="00A44F63" w:rsidRDefault="00A44F63" w:rsidP="00A44F63">
      <w:pPr>
        <w:pStyle w:val="Ttulo3"/>
        <w:spacing w:before="200" w:line="240" w:lineRule="auto"/>
      </w:pPr>
      <w:r>
        <w:t>Documentación</w:t>
      </w:r>
    </w:p>
    <w:p w:rsidR="00A44F63" w:rsidRDefault="00A44F63" w:rsidP="00A44F63">
      <w:r>
        <w:t>El Contratista podrá aportar copia del informe descrito en el apartado anterior, el cual deberá de ser aprobado por el Director de Obra.</w:t>
      </w:r>
    </w:p>
    <w:p w:rsidR="00A44F63" w:rsidRDefault="00A44F63" w:rsidP="00A44F63">
      <w:pPr>
        <w:pStyle w:val="Ttulo3"/>
        <w:spacing w:before="200" w:line="240" w:lineRule="auto"/>
      </w:pPr>
      <w:r>
        <w:t>Condiciones de aceptación o rechazo</w:t>
      </w:r>
    </w:p>
    <w:p w:rsidR="00A44F63" w:rsidRDefault="00A44F63" w:rsidP="00A44F63">
      <w:r>
        <w:t>Los materiales deberán cumplir las características indicadas en el Pliego de Condiciones Particulares de la Obra o en su defecto en los capítulos correspondientes del Pliego PG-3.</w:t>
      </w:r>
    </w:p>
    <w:p w:rsidR="00A44F63" w:rsidRDefault="00A44F63" w:rsidP="00A44F63">
      <w:r>
        <w:t>El Director de Obra podrá aceptar materiales que no cumplan alguna de las características marcadas cuando considere que no altera sensiblemente la calidad de los mismos.</w:t>
      </w:r>
    </w:p>
    <w:p w:rsidR="00A44F63" w:rsidRDefault="00A44F63" w:rsidP="00A44F63">
      <w:r>
        <w:t>El Técnico cualificado analizará los resultados obtenidos en los ensayos de compactación y en función de los criterios previamente pactados se aceptará o no la compactación de la tongada realizada.</w:t>
      </w:r>
    </w:p>
    <w:p w:rsidR="00A44F63" w:rsidRDefault="00A44F63" w:rsidP="00A44F63">
      <w:pPr>
        <w:jc w:val="left"/>
      </w:pPr>
      <w:r>
        <w:br w:type="page"/>
      </w:r>
    </w:p>
    <w:p w:rsidR="00A44F63" w:rsidRDefault="00A44F63" w:rsidP="00A44F63">
      <w:pPr>
        <w:pStyle w:val="Ttulo1"/>
        <w:spacing w:before="240" w:line="240" w:lineRule="auto"/>
      </w:pPr>
      <w:bookmarkStart w:id="31" w:name="_Toc517366241"/>
      <w:bookmarkStart w:id="32" w:name="_Toc536531072"/>
      <w:bookmarkStart w:id="33" w:name="_GoBack"/>
      <w:bookmarkEnd w:id="33"/>
      <w:r>
        <w:lastRenderedPageBreak/>
        <w:t>VALORACIÓN ECONÓMICA</w:t>
      </w:r>
      <w:bookmarkEnd w:id="31"/>
      <w:bookmarkEnd w:id="32"/>
    </w:p>
    <w:p w:rsidR="00A44F63" w:rsidRDefault="00A44F63" w:rsidP="00A44F63">
      <w:pPr>
        <w:pStyle w:val="Ttulo2"/>
        <w:spacing w:before="200" w:line="240" w:lineRule="auto"/>
      </w:pPr>
      <w:bookmarkStart w:id="34" w:name="_Toc517366242"/>
      <w:bookmarkStart w:id="35" w:name="_Toc536531073"/>
      <w:r>
        <w:t>VALORACIÓN</w:t>
      </w:r>
      <w:bookmarkEnd w:id="34"/>
      <w:bookmarkEnd w:id="35"/>
    </w:p>
    <w:p w:rsidR="00A44F63" w:rsidRPr="007876B8" w:rsidRDefault="00A44F63" w:rsidP="00A44F63"/>
    <w:p w:rsidR="00A44F63" w:rsidRDefault="00A44F63" w:rsidP="00A44F63">
      <w:pPr>
        <w:jc w:val="left"/>
      </w:pPr>
      <w:r>
        <w:br w:type="page"/>
      </w:r>
    </w:p>
    <w:p w:rsidR="00A44F63" w:rsidRPr="00500E14" w:rsidRDefault="00A44F63" w:rsidP="00A44F63">
      <w:pPr>
        <w:pStyle w:val="Ttulo2"/>
        <w:spacing w:before="200" w:line="240" w:lineRule="auto"/>
      </w:pPr>
      <w:bookmarkStart w:id="36" w:name="_Toc517366243"/>
      <w:bookmarkStart w:id="37" w:name="_Toc536531074"/>
      <w:r>
        <w:lastRenderedPageBreak/>
        <w:t>RESUMEN DE VALORACIÓN</w:t>
      </w:r>
      <w:bookmarkEnd w:id="36"/>
      <w:bookmarkEnd w:id="37"/>
    </w:p>
    <w:p w:rsidR="00A44F63" w:rsidRPr="00500E14" w:rsidRDefault="00A44F63" w:rsidP="00A44F63"/>
    <w:p w:rsidR="00854667" w:rsidRPr="00854667" w:rsidRDefault="00854667" w:rsidP="00E568F0"/>
    <w:sectPr w:rsidR="00854667" w:rsidRPr="00854667" w:rsidSect="00AD6029">
      <w:footerReference w:type="default" r:id="rId16"/>
      <w:pgSz w:w="11906" w:h="16838"/>
      <w:pgMar w:top="1417" w:right="1416" w:bottom="1417" w:left="1418" w:header="708" w:footer="942"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1C4" w:rsidRDefault="002251C4" w:rsidP="00E706E9">
      <w:pPr>
        <w:spacing w:after="0"/>
      </w:pPr>
      <w:r>
        <w:separator/>
      </w:r>
    </w:p>
  </w:endnote>
  <w:endnote w:type="continuationSeparator" w:id="0">
    <w:p w:rsidR="002251C4" w:rsidRDefault="002251C4" w:rsidP="00E706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3CB" w:rsidRDefault="00F613C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6E9" w:rsidRDefault="009F62E2" w:rsidP="00854667">
    <w:pPr>
      <w:pStyle w:val="Piedepgina"/>
      <w:pBdr>
        <w:top w:val="single" w:sz="4" w:space="1" w:color="auto"/>
      </w:pBdr>
      <w:tabs>
        <w:tab w:val="clear" w:pos="4252"/>
        <w:tab w:val="clear" w:pos="8504"/>
        <w:tab w:val="right" w:pos="9072"/>
      </w:tabs>
      <w:spacing w:before="120"/>
    </w:pPr>
    <w:r>
      <w:rPr>
        <w:rFonts w:cs="Arial"/>
        <w:sz w:val="20"/>
        <w:szCs w:val="20"/>
      </w:rPr>
      <w:t>P-19-</w:t>
    </w:r>
    <w:r w:rsidR="00FD2B90">
      <w:rPr>
        <w:rFonts w:cs="Arial"/>
        <w:sz w:val="20"/>
        <w:szCs w:val="20"/>
      </w:rPr>
      <w:t>25</w:t>
    </w:r>
    <w:r>
      <w:rPr>
        <w:rFonts w:cs="Arial"/>
        <w:sz w:val="20"/>
        <w:szCs w:val="20"/>
      </w:rPr>
      <w:t xml:space="preserve"> ANEJO 10. </w:t>
    </w:r>
    <w:r w:rsidR="00F613CB" w:rsidRPr="009B78A6">
      <w:rPr>
        <w:rFonts w:cs="Arial"/>
        <w:sz w:val="20"/>
        <w:szCs w:val="20"/>
      </w:rPr>
      <w:t>Proyecto de Ejecución</w:t>
    </w:r>
    <w:r w:rsidR="00F613CB">
      <w:rPr>
        <w:rFonts w:cs="Arial"/>
        <w:sz w:val="20"/>
        <w:szCs w:val="20"/>
      </w:rPr>
      <w:t xml:space="preserve"> de la ampliación</w:t>
    </w:r>
    <w:r w:rsidR="00F613CB" w:rsidRPr="009B78A6">
      <w:rPr>
        <w:rFonts w:cs="Arial"/>
        <w:sz w:val="20"/>
        <w:szCs w:val="20"/>
      </w:rPr>
      <w:t xml:space="preserve"> </w:t>
    </w:r>
    <w:r w:rsidR="00F613CB">
      <w:rPr>
        <w:rFonts w:cs="Arial"/>
        <w:sz w:val="20"/>
        <w:szCs w:val="20"/>
      </w:rPr>
      <w:t>de</w:t>
    </w:r>
    <w:r w:rsidR="00F613CB" w:rsidRPr="009B78A6">
      <w:rPr>
        <w:rFonts w:cs="Arial"/>
        <w:sz w:val="20"/>
        <w:szCs w:val="20"/>
      </w:rPr>
      <w:t xml:space="preserve"> un relleno de tierras en el barrio de </w:t>
    </w:r>
    <w:r w:rsidR="00F613CB">
      <w:rPr>
        <w:rFonts w:cs="Arial"/>
        <w:sz w:val="20"/>
        <w:szCs w:val="20"/>
      </w:rPr>
      <w:t>Gaintzaberri</w:t>
    </w:r>
    <w:r w:rsidR="00F613CB" w:rsidRPr="009B78A6">
      <w:rPr>
        <w:rFonts w:cs="Arial"/>
        <w:sz w:val="20"/>
        <w:szCs w:val="20"/>
      </w:rPr>
      <w:t xml:space="preserve">, en el </w:t>
    </w:r>
    <w:r w:rsidR="00F613CB">
      <w:rPr>
        <w:rFonts w:cs="Arial"/>
        <w:sz w:val="20"/>
        <w:szCs w:val="20"/>
      </w:rPr>
      <w:t>término municipal</w:t>
    </w:r>
    <w:r w:rsidR="00F613CB" w:rsidRPr="009B78A6">
      <w:rPr>
        <w:rFonts w:cs="Arial"/>
        <w:sz w:val="20"/>
        <w:szCs w:val="20"/>
      </w:rPr>
      <w:t xml:space="preserve"> de </w:t>
    </w:r>
    <w:r w:rsidR="00F613CB">
      <w:rPr>
        <w:rFonts w:cs="Arial"/>
        <w:sz w:val="20"/>
        <w:szCs w:val="20"/>
      </w:rPr>
      <w:t>Hondarribia</w:t>
    </w:r>
    <w:r w:rsidR="00BC3057">
      <w:rPr>
        <w:rFonts w:cs="Arial"/>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3CB" w:rsidRDefault="00F613CB">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667" w:rsidRDefault="00F613CB" w:rsidP="00854667">
    <w:pPr>
      <w:pStyle w:val="Piedepgina"/>
      <w:pBdr>
        <w:top w:val="single" w:sz="4" w:space="1" w:color="auto"/>
      </w:pBdr>
      <w:tabs>
        <w:tab w:val="clear" w:pos="4252"/>
        <w:tab w:val="clear" w:pos="8504"/>
        <w:tab w:val="right" w:pos="9072"/>
      </w:tabs>
      <w:spacing w:before="120"/>
    </w:pPr>
    <w:r>
      <w:rPr>
        <w:rFonts w:cs="Arial"/>
        <w:sz w:val="20"/>
        <w:szCs w:val="20"/>
      </w:rPr>
      <w:t xml:space="preserve">P-19-25 ANEJO 10. </w:t>
    </w:r>
    <w:r w:rsidRPr="009B78A6">
      <w:rPr>
        <w:rFonts w:cs="Arial"/>
        <w:sz w:val="20"/>
        <w:szCs w:val="20"/>
      </w:rPr>
      <w:t>Proyecto de Ejecución</w:t>
    </w:r>
    <w:r>
      <w:rPr>
        <w:rFonts w:cs="Arial"/>
        <w:sz w:val="20"/>
        <w:szCs w:val="20"/>
      </w:rPr>
      <w:t xml:space="preserve"> de la ampliación</w:t>
    </w:r>
    <w:r w:rsidRPr="009B78A6">
      <w:rPr>
        <w:rFonts w:cs="Arial"/>
        <w:sz w:val="20"/>
        <w:szCs w:val="20"/>
      </w:rPr>
      <w:t xml:space="preserve"> </w:t>
    </w:r>
    <w:r>
      <w:rPr>
        <w:rFonts w:cs="Arial"/>
        <w:sz w:val="20"/>
        <w:szCs w:val="20"/>
      </w:rPr>
      <w:t>de</w:t>
    </w:r>
    <w:r w:rsidRPr="009B78A6">
      <w:rPr>
        <w:rFonts w:cs="Arial"/>
        <w:sz w:val="20"/>
        <w:szCs w:val="20"/>
      </w:rPr>
      <w:t xml:space="preserve"> un relleno de tierras en el barrio de </w:t>
    </w:r>
    <w:r>
      <w:rPr>
        <w:rFonts w:cs="Arial"/>
        <w:sz w:val="20"/>
        <w:szCs w:val="20"/>
      </w:rPr>
      <w:t>Gaintzaberri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Hondarribia</w:t>
    </w:r>
    <w:r w:rsidR="00854667" w:rsidRPr="00C823CE">
      <w:rPr>
        <w:rFonts w:cs="Arial"/>
        <w:sz w:val="20"/>
        <w:szCs w:val="20"/>
      </w:rPr>
      <w:tab/>
    </w:r>
    <w:r w:rsidR="000F672F" w:rsidRPr="00C823CE">
      <w:rPr>
        <w:rFonts w:cs="Arial"/>
        <w:sz w:val="20"/>
        <w:szCs w:val="20"/>
      </w:rPr>
      <w:fldChar w:fldCharType="begin"/>
    </w:r>
    <w:r w:rsidR="00854667" w:rsidRPr="00C823CE">
      <w:rPr>
        <w:rFonts w:cs="Arial"/>
        <w:sz w:val="20"/>
        <w:szCs w:val="20"/>
      </w:rPr>
      <w:instrText xml:space="preserve"> PAGE   \* MERGEFORMAT </w:instrText>
    </w:r>
    <w:r w:rsidR="000F672F" w:rsidRPr="00C823CE">
      <w:rPr>
        <w:rFonts w:cs="Arial"/>
        <w:sz w:val="20"/>
        <w:szCs w:val="20"/>
      </w:rPr>
      <w:fldChar w:fldCharType="separate"/>
    </w:r>
    <w:r w:rsidR="002E258A">
      <w:rPr>
        <w:rFonts w:cs="Arial"/>
        <w:noProof/>
        <w:sz w:val="20"/>
        <w:szCs w:val="20"/>
      </w:rPr>
      <w:t>i</w:t>
    </w:r>
    <w:r w:rsidR="000F672F" w:rsidRPr="00C823CE">
      <w:rPr>
        <w:rFonts w:cs="Arial"/>
        <w:sz w:val="20"/>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5E" w:rsidRPr="00AD6029" w:rsidRDefault="00F613CB" w:rsidP="00F471C8">
    <w:pPr>
      <w:pStyle w:val="Piedepgina"/>
      <w:pBdr>
        <w:top w:val="single" w:sz="4" w:space="1" w:color="auto"/>
      </w:pBdr>
      <w:tabs>
        <w:tab w:val="clear" w:pos="4252"/>
        <w:tab w:val="clear" w:pos="8504"/>
        <w:tab w:val="center" w:pos="9072"/>
      </w:tabs>
      <w:spacing w:before="120"/>
      <w:rPr>
        <w:sz w:val="20"/>
      </w:rPr>
    </w:pPr>
    <w:r>
      <w:rPr>
        <w:rFonts w:cs="Arial"/>
        <w:sz w:val="20"/>
        <w:szCs w:val="20"/>
      </w:rPr>
      <w:t xml:space="preserve">P-19-25 ANEJO 10. </w:t>
    </w:r>
    <w:r w:rsidRPr="009B78A6">
      <w:rPr>
        <w:rFonts w:cs="Arial"/>
        <w:sz w:val="20"/>
        <w:szCs w:val="20"/>
      </w:rPr>
      <w:t>Proyecto de Ejecución</w:t>
    </w:r>
    <w:r>
      <w:rPr>
        <w:rFonts w:cs="Arial"/>
        <w:sz w:val="20"/>
        <w:szCs w:val="20"/>
      </w:rPr>
      <w:t xml:space="preserve"> de la ampliación</w:t>
    </w:r>
    <w:r w:rsidRPr="009B78A6">
      <w:rPr>
        <w:rFonts w:cs="Arial"/>
        <w:sz w:val="20"/>
        <w:szCs w:val="20"/>
      </w:rPr>
      <w:t xml:space="preserve"> </w:t>
    </w:r>
    <w:r>
      <w:rPr>
        <w:rFonts w:cs="Arial"/>
        <w:sz w:val="20"/>
        <w:szCs w:val="20"/>
      </w:rPr>
      <w:t>de</w:t>
    </w:r>
    <w:r w:rsidRPr="009B78A6">
      <w:rPr>
        <w:rFonts w:cs="Arial"/>
        <w:sz w:val="20"/>
        <w:szCs w:val="20"/>
      </w:rPr>
      <w:t xml:space="preserve"> un relleno de tierras en el barrio de </w:t>
    </w:r>
    <w:r>
      <w:rPr>
        <w:rFonts w:cs="Arial"/>
        <w:sz w:val="20"/>
        <w:szCs w:val="20"/>
      </w:rPr>
      <w:t>Gaintzaberri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Hondarribia</w:t>
    </w:r>
    <w:r w:rsidR="00A44F63" w:rsidRPr="00AD6029">
      <w:rPr>
        <w:rFonts w:cs="Arial"/>
        <w:sz w:val="18"/>
        <w:szCs w:val="20"/>
      </w:rPr>
      <w:tab/>
    </w:r>
    <w:r w:rsidR="000F672F" w:rsidRPr="00C823CE">
      <w:rPr>
        <w:rFonts w:cs="Arial"/>
        <w:sz w:val="20"/>
        <w:szCs w:val="20"/>
      </w:rPr>
      <w:fldChar w:fldCharType="begin"/>
    </w:r>
    <w:r w:rsidR="00A44F63" w:rsidRPr="00C823CE">
      <w:rPr>
        <w:rFonts w:cs="Arial"/>
        <w:sz w:val="20"/>
        <w:szCs w:val="20"/>
      </w:rPr>
      <w:instrText xml:space="preserve"> PAGE   \* MERGEFORMAT </w:instrText>
    </w:r>
    <w:r w:rsidR="000F672F" w:rsidRPr="00C823CE">
      <w:rPr>
        <w:rFonts w:cs="Arial"/>
        <w:sz w:val="20"/>
        <w:szCs w:val="20"/>
      </w:rPr>
      <w:fldChar w:fldCharType="separate"/>
    </w:r>
    <w:r w:rsidR="002E258A">
      <w:rPr>
        <w:rFonts w:cs="Arial"/>
        <w:noProof/>
        <w:sz w:val="20"/>
        <w:szCs w:val="20"/>
      </w:rPr>
      <w:t>14</w:t>
    </w:r>
    <w:r w:rsidR="000F672F" w:rsidRPr="00C823CE">
      <w:rPr>
        <w:rFonts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1C4" w:rsidRDefault="002251C4" w:rsidP="00E706E9">
      <w:pPr>
        <w:spacing w:after="0"/>
      </w:pPr>
      <w:r>
        <w:separator/>
      </w:r>
    </w:p>
  </w:footnote>
  <w:footnote w:type="continuationSeparator" w:id="0">
    <w:p w:rsidR="002251C4" w:rsidRDefault="002251C4" w:rsidP="00E706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3CB" w:rsidRDefault="00F613C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6E9" w:rsidRDefault="00BC3057" w:rsidP="00B47B92">
    <w:pPr>
      <w:pStyle w:val="Encabezado"/>
      <w:pBdr>
        <w:bottom w:val="single" w:sz="4" w:space="1" w:color="auto"/>
      </w:pBdr>
      <w:spacing w:before="240"/>
    </w:pPr>
    <w:r>
      <w:rPr>
        <w:rFonts w:ascii="Century Gothic" w:hAnsi="Century Gothic"/>
        <w:noProof/>
        <w:sz w:val="18"/>
        <w:szCs w:val="18"/>
        <w:lang w:eastAsia="es-ES"/>
      </w:rPr>
      <w:drawing>
        <wp:anchor distT="0" distB="0" distL="114300" distR="114300" simplePos="0" relativeHeight="251662336" behindDoc="0" locked="0" layoutInCell="1" allowOverlap="1">
          <wp:simplePos x="0" y="0"/>
          <wp:positionH relativeFrom="margin">
            <wp:align>left</wp:align>
          </wp:positionH>
          <wp:positionV relativeFrom="paragraph">
            <wp:posOffset>-267335</wp:posOffset>
          </wp:positionV>
          <wp:extent cx="816680" cy="576000"/>
          <wp:effectExtent l="0" t="0" r="2540" b="0"/>
          <wp:wrapNone/>
          <wp:docPr id="2" name="Imagen 2" descr="Resultado de imagen de Log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de Logotip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16680" cy="576000"/>
                  </a:xfrm>
                  <a:prstGeom prst="rect">
                    <a:avLst/>
                  </a:prstGeom>
                  <a:noFill/>
                  <a:ln>
                    <a:noFill/>
                  </a:ln>
                </pic:spPr>
              </pic:pic>
            </a:graphicData>
          </a:graphic>
        </wp:anchor>
      </w:drawing>
    </w:r>
    <w:r w:rsidR="00C07EDC">
      <w:rPr>
        <w:noProof/>
        <w:lang w:eastAsia="es-ES"/>
      </w:rPr>
      <w:drawing>
        <wp:anchor distT="0" distB="0" distL="114300" distR="114300" simplePos="0" relativeHeight="251658240" behindDoc="0" locked="0" layoutInCell="1" allowOverlap="1">
          <wp:simplePos x="0" y="0"/>
          <wp:positionH relativeFrom="margin">
            <wp:align>right</wp:align>
          </wp:positionH>
          <wp:positionV relativeFrom="paragraph">
            <wp:posOffset>-153670</wp:posOffset>
          </wp:positionV>
          <wp:extent cx="1311910" cy="326390"/>
          <wp:effectExtent l="0" t="0" r="2540" b="0"/>
          <wp:wrapNone/>
          <wp:docPr id="12" name="Imagen 12" descr="C:\Users\Usuario\AppData\Local\Microsoft\Windows\INetCache\Content.Outlook\IQ0D3JCA\ASMAT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AppData\Local\Microsoft\Windows\INetCache\Content.Outlook\IQ0D3JCA\ASMATU (2).jpg"/>
                  <pic:cNvPicPr>
                    <a:picLocks noChangeAspect="1" noChangeArrowheads="1"/>
                  </pic:cNvPicPr>
                </pic:nvPicPr>
                <pic:blipFill>
                  <a:blip r:embed="rId2"/>
                  <a:srcRect/>
                  <a:stretch>
                    <a:fillRect/>
                  </a:stretch>
                </pic:blipFill>
                <pic:spPr bwMode="auto">
                  <a:xfrm>
                    <a:off x="0" y="0"/>
                    <a:ext cx="1311910" cy="32639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3CB" w:rsidRDefault="00F613C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1479"/>
    <w:multiLevelType w:val="multilevel"/>
    <w:tmpl w:val="3B7EDF02"/>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1080" w:hanging="720"/>
      </w:pPr>
      <w:rPr>
        <w:rFonts w:hint="default"/>
      </w:rPr>
    </w:lvl>
    <w:lvl w:ilvl="2">
      <w:start w:val="1"/>
      <w:numFmt w:val="decimal"/>
      <w:pStyle w:val="Ttulo3"/>
      <w:isLgl/>
      <w:lvlText w:val="%1.%2.%3."/>
      <w:lvlJc w:val="left"/>
      <w:pPr>
        <w:ind w:left="1080" w:hanging="720"/>
      </w:pPr>
      <w:rPr>
        <w:rFonts w:hint="default"/>
      </w:rPr>
    </w:lvl>
    <w:lvl w:ilvl="3">
      <w:start w:val="1"/>
      <w:numFmt w:val="decimal"/>
      <w:pStyle w:val="Ttulo4"/>
      <w:isLgl/>
      <w:lvlText w:val="%1.%2.%3.%4."/>
      <w:lvlJc w:val="left"/>
      <w:pPr>
        <w:ind w:left="1440" w:hanging="1080"/>
      </w:pPr>
      <w:rPr>
        <w:rFonts w:hint="default"/>
      </w:rPr>
    </w:lvl>
    <w:lvl w:ilvl="4">
      <w:start w:val="1"/>
      <w:numFmt w:val="decimal"/>
      <w:pStyle w:val="Ttulo5"/>
      <w:isLgl/>
      <w:lvlText w:val="%1.%2.%3.%4.%5."/>
      <w:lvlJc w:val="left"/>
      <w:pPr>
        <w:ind w:left="1440" w:hanging="1080"/>
      </w:pPr>
      <w:rPr>
        <w:rFonts w:hint="default"/>
      </w:rPr>
    </w:lvl>
    <w:lvl w:ilvl="5">
      <w:start w:val="1"/>
      <w:numFmt w:val="decimal"/>
      <w:pStyle w:val="Ttulo6"/>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1D27285"/>
    <w:multiLevelType w:val="hybridMultilevel"/>
    <w:tmpl w:val="75246D0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6BC1CEF"/>
    <w:multiLevelType w:val="hybridMultilevel"/>
    <w:tmpl w:val="5E2AED2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A9D5FFA"/>
    <w:multiLevelType w:val="hybridMultilevel"/>
    <w:tmpl w:val="9F4CCEC4"/>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B805A41"/>
    <w:multiLevelType w:val="hybridMultilevel"/>
    <w:tmpl w:val="575E10C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3D176C9"/>
    <w:multiLevelType w:val="hybridMultilevel"/>
    <w:tmpl w:val="A9F0EAC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CE06AFA"/>
    <w:multiLevelType w:val="hybridMultilevel"/>
    <w:tmpl w:val="9010268C"/>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D2F3C8F"/>
    <w:multiLevelType w:val="hybridMultilevel"/>
    <w:tmpl w:val="15D60E5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EE74BED"/>
    <w:multiLevelType w:val="hybridMultilevel"/>
    <w:tmpl w:val="1586F56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F441A2E"/>
    <w:multiLevelType w:val="hybridMultilevel"/>
    <w:tmpl w:val="0CDA821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1EF7F92"/>
    <w:multiLevelType w:val="hybridMultilevel"/>
    <w:tmpl w:val="C1AC661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6A37F48"/>
    <w:multiLevelType w:val="hybridMultilevel"/>
    <w:tmpl w:val="7FC6376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319857CC"/>
    <w:multiLevelType w:val="hybridMultilevel"/>
    <w:tmpl w:val="F98CF61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361870B8"/>
    <w:multiLevelType w:val="hybridMultilevel"/>
    <w:tmpl w:val="21064186"/>
    <w:lvl w:ilvl="0" w:tplc="077C7DF4">
      <w:start w:val="1"/>
      <w:numFmt w:val="decimal"/>
      <w:pStyle w:val="TablaN"/>
      <w:lvlText w:val="Tabl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36F10B29"/>
    <w:multiLevelType w:val="hybridMultilevel"/>
    <w:tmpl w:val="BCE6374A"/>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385855A2"/>
    <w:multiLevelType w:val="hybridMultilevel"/>
    <w:tmpl w:val="D3F277FC"/>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3A2C6936"/>
    <w:multiLevelType w:val="hybridMultilevel"/>
    <w:tmpl w:val="20B0826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41E64B5F"/>
    <w:multiLevelType w:val="hybridMultilevel"/>
    <w:tmpl w:val="8112106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7293998"/>
    <w:multiLevelType w:val="hybridMultilevel"/>
    <w:tmpl w:val="7952BF4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475A1708"/>
    <w:multiLevelType w:val="hybridMultilevel"/>
    <w:tmpl w:val="6DA4B298"/>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20">
    <w:nsid w:val="475B27A0"/>
    <w:multiLevelType w:val="hybridMultilevel"/>
    <w:tmpl w:val="A206436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47C63862"/>
    <w:multiLevelType w:val="hybridMultilevel"/>
    <w:tmpl w:val="9600FA1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4EBC3A02"/>
    <w:multiLevelType w:val="hybridMultilevel"/>
    <w:tmpl w:val="51EACFEA"/>
    <w:lvl w:ilvl="0" w:tplc="0C0A000D">
      <w:start w:val="1"/>
      <w:numFmt w:val="bullet"/>
      <w:lvlText w:val=""/>
      <w:lvlJc w:val="left"/>
      <w:pPr>
        <w:ind w:left="720" w:hanging="360"/>
      </w:pPr>
      <w:rPr>
        <w:rFonts w:ascii="Wingdings" w:hAnsi="Wingding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54BF779A"/>
    <w:multiLevelType w:val="hybridMultilevel"/>
    <w:tmpl w:val="580AD81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555D111B"/>
    <w:multiLevelType w:val="hybridMultilevel"/>
    <w:tmpl w:val="F95002C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5919605B"/>
    <w:multiLevelType w:val="hybridMultilevel"/>
    <w:tmpl w:val="8918FCA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6AB15288"/>
    <w:multiLevelType w:val="hybridMultilevel"/>
    <w:tmpl w:val="087CD0C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6FDC1909"/>
    <w:multiLevelType w:val="hybridMultilevel"/>
    <w:tmpl w:val="5132773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700123B0"/>
    <w:multiLevelType w:val="hybridMultilevel"/>
    <w:tmpl w:val="A79CB74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75B87673"/>
    <w:multiLevelType w:val="hybridMultilevel"/>
    <w:tmpl w:val="E8907078"/>
    <w:lvl w:ilvl="0" w:tplc="9BB29A60">
      <w:start w:val="1"/>
      <w:numFmt w:val="decimal"/>
      <w:pStyle w:val="Subttulo"/>
      <w:lvlText w:val="Figur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9"/>
  </w:num>
  <w:num w:numId="3">
    <w:abstractNumId w:val="29"/>
  </w:num>
  <w:num w:numId="4">
    <w:abstractNumId w:val="13"/>
  </w:num>
  <w:num w:numId="5">
    <w:abstractNumId w:val="11"/>
  </w:num>
  <w:num w:numId="6">
    <w:abstractNumId w:val="10"/>
  </w:num>
  <w:num w:numId="7">
    <w:abstractNumId w:val="21"/>
  </w:num>
  <w:num w:numId="8">
    <w:abstractNumId w:val="16"/>
  </w:num>
  <w:num w:numId="9">
    <w:abstractNumId w:val="6"/>
  </w:num>
  <w:num w:numId="10">
    <w:abstractNumId w:val="23"/>
  </w:num>
  <w:num w:numId="11">
    <w:abstractNumId w:val="27"/>
  </w:num>
  <w:num w:numId="12">
    <w:abstractNumId w:val="17"/>
  </w:num>
  <w:num w:numId="13">
    <w:abstractNumId w:val="25"/>
  </w:num>
  <w:num w:numId="14">
    <w:abstractNumId w:val="18"/>
  </w:num>
  <w:num w:numId="15">
    <w:abstractNumId w:val="26"/>
  </w:num>
  <w:num w:numId="16">
    <w:abstractNumId w:val="1"/>
  </w:num>
  <w:num w:numId="17">
    <w:abstractNumId w:val="15"/>
  </w:num>
  <w:num w:numId="18">
    <w:abstractNumId w:val="3"/>
  </w:num>
  <w:num w:numId="19">
    <w:abstractNumId w:val="14"/>
  </w:num>
  <w:num w:numId="20">
    <w:abstractNumId w:val="9"/>
  </w:num>
  <w:num w:numId="21">
    <w:abstractNumId w:val="28"/>
  </w:num>
  <w:num w:numId="22">
    <w:abstractNumId w:val="20"/>
  </w:num>
  <w:num w:numId="23">
    <w:abstractNumId w:val="8"/>
  </w:num>
  <w:num w:numId="24">
    <w:abstractNumId w:val="2"/>
  </w:num>
  <w:num w:numId="25">
    <w:abstractNumId w:val="12"/>
  </w:num>
  <w:num w:numId="26">
    <w:abstractNumId w:val="5"/>
  </w:num>
  <w:num w:numId="27">
    <w:abstractNumId w:val="4"/>
  </w:num>
  <w:num w:numId="28">
    <w:abstractNumId w:val="24"/>
  </w:num>
  <w:num w:numId="29">
    <w:abstractNumId w:val="22"/>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944"/>
    <w:rsid w:val="00024E07"/>
    <w:rsid w:val="00051BFF"/>
    <w:rsid w:val="00053EA5"/>
    <w:rsid w:val="000C29EC"/>
    <w:rsid w:val="000D6BC2"/>
    <w:rsid w:val="000F1DE4"/>
    <w:rsid w:val="000F672F"/>
    <w:rsid w:val="000F7190"/>
    <w:rsid w:val="00100B8B"/>
    <w:rsid w:val="00127FC7"/>
    <w:rsid w:val="00130487"/>
    <w:rsid w:val="001974FA"/>
    <w:rsid w:val="00210184"/>
    <w:rsid w:val="002217AC"/>
    <w:rsid w:val="002251C4"/>
    <w:rsid w:val="0023115B"/>
    <w:rsid w:val="002A0B9F"/>
    <w:rsid w:val="002A10B6"/>
    <w:rsid w:val="002E258A"/>
    <w:rsid w:val="002F310F"/>
    <w:rsid w:val="00326255"/>
    <w:rsid w:val="00326A05"/>
    <w:rsid w:val="003379D7"/>
    <w:rsid w:val="00341FB2"/>
    <w:rsid w:val="00375811"/>
    <w:rsid w:val="00382A76"/>
    <w:rsid w:val="003C38A4"/>
    <w:rsid w:val="003C44EE"/>
    <w:rsid w:val="003D7523"/>
    <w:rsid w:val="003E4488"/>
    <w:rsid w:val="003F646E"/>
    <w:rsid w:val="00404A95"/>
    <w:rsid w:val="00447666"/>
    <w:rsid w:val="00455E1E"/>
    <w:rsid w:val="0046102D"/>
    <w:rsid w:val="0047281E"/>
    <w:rsid w:val="00494D5E"/>
    <w:rsid w:val="004F4AA0"/>
    <w:rsid w:val="00503E45"/>
    <w:rsid w:val="00535816"/>
    <w:rsid w:val="00546D63"/>
    <w:rsid w:val="00565CD8"/>
    <w:rsid w:val="0059744C"/>
    <w:rsid w:val="005A1C87"/>
    <w:rsid w:val="005A25DF"/>
    <w:rsid w:val="005A4CD1"/>
    <w:rsid w:val="00604EDE"/>
    <w:rsid w:val="0061680B"/>
    <w:rsid w:val="00621295"/>
    <w:rsid w:val="006516CD"/>
    <w:rsid w:val="00683BFC"/>
    <w:rsid w:val="006A2B4D"/>
    <w:rsid w:val="006D2A5D"/>
    <w:rsid w:val="006D41F7"/>
    <w:rsid w:val="006E5F51"/>
    <w:rsid w:val="006E6727"/>
    <w:rsid w:val="00703FC0"/>
    <w:rsid w:val="007331E8"/>
    <w:rsid w:val="007358DA"/>
    <w:rsid w:val="00735F7D"/>
    <w:rsid w:val="00740A52"/>
    <w:rsid w:val="00742434"/>
    <w:rsid w:val="007C2904"/>
    <w:rsid w:val="007D4AAD"/>
    <w:rsid w:val="007E4EB8"/>
    <w:rsid w:val="00810653"/>
    <w:rsid w:val="00854667"/>
    <w:rsid w:val="008645FC"/>
    <w:rsid w:val="00895063"/>
    <w:rsid w:val="0089752E"/>
    <w:rsid w:val="008E5FBA"/>
    <w:rsid w:val="008F66C7"/>
    <w:rsid w:val="008F698B"/>
    <w:rsid w:val="00921D94"/>
    <w:rsid w:val="00932798"/>
    <w:rsid w:val="009437FF"/>
    <w:rsid w:val="00943830"/>
    <w:rsid w:val="00964D8B"/>
    <w:rsid w:val="00965944"/>
    <w:rsid w:val="00966961"/>
    <w:rsid w:val="00997F2B"/>
    <w:rsid w:val="009E5A80"/>
    <w:rsid w:val="009F62E2"/>
    <w:rsid w:val="00A44039"/>
    <w:rsid w:val="00A44F63"/>
    <w:rsid w:val="00AC16A1"/>
    <w:rsid w:val="00AF67F2"/>
    <w:rsid w:val="00B47B92"/>
    <w:rsid w:val="00B50AA7"/>
    <w:rsid w:val="00B95568"/>
    <w:rsid w:val="00BB3215"/>
    <w:rsid w:val="00BB38C2"/>
    <w:rsid w:val="00BC06B8"/>
    <w:rsid w:val="00BC1759"/>
    <w:rsid w:val="00BC3057"/>
    <w:rsid w:val="00BC7F49"/>
    <w:rsid w:val="00C07EDC"/>
    <w:rsid w:val="00D5229C"/>
    <w:rsid w:val="00D809FE"/>
    <w:rsid w:val="00D87AD0"/>
    <w:rsid w:val="00DE29C1"/>
    <w:rsid w:val="00DE2BB1"/>
    <w:rsid w:val="00DF31CA"/>
    <w:rsid w:val="00E0202C"/>
    <w:rsid w:val="00E568F0"/>
    <w:rsid w:val="00E706E9"/>
    <w:rsid w:val="00E75609"/>
    <w:rsid w:val="00EE7DE8"/>
    <w:rsid w:val="00F455DE"/>
    <w:rsid w:val="00F471C8"/>
    <w:rsid w:val="00F613CB"/>
    <w:rsid w:val="00F95AF0"/>
    <w:rsid w:val="00F965BB"/>
    <w:rsid w:val="00FA604A"/>
    <w:rsid w:val="00FD2B9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8B"/>
    <w:pPr>
      <w:jc w:val="both"/>
    </w:pPr>
  </w:style>
  <w:style w:type="paragraph" w:styleId="Ttulo1">
    <w:name w:val="heading 1"/>
    <w:basedOn w:val="Normal"/>
    <w:next w:val="Normal"/>
    <w:link w:val="Ttulo1Car"/>
    <w:uiPriority w:val="9"/>
    <w:qFormat/>
    <w:rsid w:val="00100B8B"/>
    <w:pPr>
      <w:keepNext/>
      <w:keepLines/>
      <w:numPr>
        <w:numId w:val="1"/>
      </w:numPr>
      <w:spacing w:before="360"/>
      <w:ind w:left="0" w:firstLine="0"/>
      <w:outlineLvl w:val="0"/>
    </w:pPr>
    <w:rPr>
      <w:rFonts w:eastAsiaTheme="majorEastAsia" w:cstheme="majorBidi"/>
      <w:b/>
      <w:bCs/>
      <w:color w:val="000000" w:themeColor="text1"/>
      <w:sz w:val="24"/>
      <w:szCs w:val="28"/>
      <w:u w:val="single"/>
    </w:rPr>
  </w:style>
  <w:style w:type="paragraph" w:styleId="Ttulo2">
    <w:name w:val="heading 2"/>
    <w:basedOn w:val="Normal"/>
    <w:next w:val="Normal"/>
    <w:link w:val="Ttulo2Car"/>
    <w:uiPriority w:val="9"/>
    <w:unhideWhenUsed/>
    <w:qFormat/>
    <w:rsid w:val="00100B8B"/>
    <w:pPr>
      <w:keepNext/>
      <w:keepLines/>
      <w:numPr>
        <w:ilvl w:val="1"/>
        <w:numId w:val="1"/>
      </w:numPr>
      <w:spacing w:before="360"/>
      <w:ind w:left="0" w:firstLine="0"/>
      <w:outlineLvl w:val="1"/>
    </w:pPr>
    <w:rPr>
      <w:rFonts w:eastAsiaTheme="majorEastAsia" w:cstheme="majorBidi"/>
      <w:b/>
      <w:bCs/>
      <w:color w:val="000000" w:themeColor="text1"/>
      <w:sz w:val="24"/>
      <w:szCs w:val="26"/>
    </w:rPr>
  </w:style>
  <w:style w:type="paragraph" w:styleId="Ttulo3">
    <w:name w:val="heading 3"/>
    <w:basedOn w:val="Normal"/>
    <w:next w:val="Normal"/>
    <w:link w:val="Ttulo3Car"/>
    <w:uiPriority w:val="9"/>
    <w:unhideWhenUsed/>
    <w:qFormat/>
    <w:rsid w:val="00100B8B"/>
    <w:pPr>
      <w:keepNext/>
      <w:keepLines/>
      <w:numPr>
        <w:ilvl w:val="2"/>
        <w:numId w:val="1"/>
      </w:numPr>
      <w:spacing w:before="360"/>
      <w:ind w:left="0" w:firstLine="0"/>
      <w:outlineLvl w:val="2"/>
    </w:pPr>
    <w:rPr>
      <w:rFonts w:eastAsiaTheme="majorEastAsia" w:cstheme="majorBidi"/>
      <w:b/>
      <w:bCs/>
      <w:i/>
      <w:color w:val="000000" w:themeColor="text1"/>
      <w:sz w:val="24"/>
    </w:rPr>
  </w:style>
  <w:style w:type="paragraph" w:styleId="Ttulo4">
    <w:name w:val="heading 4"/>
    <w:basedOn w:val="Normal"/>
    <w:next w:val="Normal"/>
    <w:link w:val="Ttulo4Car"/>
    <w:uiPriority w:val="9"/>
    <w:unhideWhenUsed/>
    <w:qFormat/>
    <w:rsid w:val="00326A05"/>
    <w:pPr>
      <w:keepNext/>
      <w:keepLines/>
      <w:numPr>
        <w:ilvl w:val="3"/>
        <w:numId w:val="1"/>
      </w:numPr>
      <w:spacing w:before="200"/>
      <w:ind w:left="113" w:firstLine="0"/>
      <w:outlineLvl w:val="3"/>
    </w:pPr>
    <w:rPr>
      <w:rFonts w:eastAsiaTheme="majorEastAsia" w:cstheme="majorBidi"/>
      <w:b/>
      <w:bCs/>
      <w:iCs/>
      <w:color w:val="000000" w:themeColor="text1"/>
    </w:rPr>
  </w:style>
  <w:style w:type="paragraph" w:styleId="Ttulo5">
    <w:name w:val="heading 5"/>
    <w:basedOn w:val="Normal"/>
    <w:next w:val="Normal"/>
    <w:link w:val="Ttulo5Car"/>
    <w:uiPriority w:val="9"/>
    <w:unhideWhenUsed/>
    <w:qFormat/>
    <w:rsid w:val="00127FC7"/>
    <w:pPr>
      <w:keepNext/>
      <w:keepLines/>
      <w:numPr>
        <w:ilvl w:val="4"/>
        <w:numId w:val="1"/>
      </w:numPr>
      <w:spacing w:before="200"/>
      <w:ind w:left="113" w:firstLine="0"/>
      <w:outlineLvl w:val="4"/>
    </w:pPr>
    <w:rPr>
      <w:rFonts w:eastAsiaTheme="majorEastAsia" w:cstheme="majorBidi"/>
      <w:color w:val="000000" w:themeColor="text1"/>
    </w:rPr>
  </w:style>
  <w:style w:type="paragraph" w:styleId="Ttulo6">
    <w:name w:val="heading 6"/>
    <w:basedOn w:val="Normal"/>
    <w:next w:val="Normal"/>
    <w:link w:val="Ttulo6Car"/>
    <w:uiPriority w:val="9"/>
    <w:unhideWhenUsed/>
    <w:qFormat/>
    <w:rsid w:val="00127FC7"/>
    <w:pPr>
      <w:keepNext/>
      <w:keepLines/>
      <w:numPr>
        <w:ilvl w:val="5"/>
        <w:numId w:val="1"/>
      </w:numPr>
      <w:spacing w:before="200"/>
      <w:ind w:left="113" w:firstLine="0"/>
      <w:outlineLvl w:val="5"/>
    </w:pPr>
    <w:rPr>
      <w:rFonts w:eastAsiaTheme="majorEastAsia" w:cstheme="majorBidi"/>
      <w:i/>
      <w:iCs/>
      <w:color w:val="000000" w:themeColor="text1"/>
    </w:rPr>
  </w:style>
  <w:style w:type="paragraph" w:styleId="Ttulo7">
    <w:name w:val="heading 7"/>
    <w:basedOn w:val="Normal"/>
    <w:next w:val="Normal"/>
    <w:link w:val="Ttulo7Car"/>
    <w:uiPriority w:val="9"/>
    <w:unhideWhenUsed/>
    <w:qFormat/>
    <w:rsid w:val="00DF31C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unhideWhenUsed/>
    <w:qFormat/>
    <w:rsid w:val="00DF31C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DF31C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00B8B"/>
    <w:rPr>
      <w:rFonts w:eastAsiaTheme="majorEastAsia" w:cstheme="majorBidi"/>
      <w:b/>
      <w:bCs/>
      <w:color w:val="000000" w:themeColor="text1"/>
      <w:sz w:val="24"/>
      <w:szCs w:val="26"/>
    </w:rPr>
  </w:style>
  <w:style w:type="character" w:customStyle="1" w:styleId="Ttulo3Car">
    <w:name w:val="Título 3 Car"/>
    <w:basedOn w:val="Fuentedeprrafopredeter"/>
    <w:link w:val="Ttulo3"/>
    <w:uiPriority w:val="9"/>
    <w:rsid w:val="00100B8B"/>
    <w:rPr>
      <w:rFonts w:eastAsiaTheme="majorEastAsia" w:cstheme="majorBidi"/>
      <w:b/>
      <w:bCs/>
      <w:i/>
      <w:color w:val="000000" w:themeColor="text1"/>
      <w:sz w:val="24"/>
    </w:rPr>
  </w:style>
  <w:style w:type="character" w:customStyle="1" w:styleId="Ttulo4Car">
    <w:name w:val="Título 4 Car"/>
    <w:basedOn w:val="Fuentedeprrafopredeter"/>
    <w:link w:val="Ttulo4"/>
    <w:uiPriority w:val="9"/>
    <w:rsid w:val="00326A05"/>
    <w:rPr>
      <w:rFonts w:eastAsiaTheme="majorEastAsia" w:cstheme="majorBidi"/>
      <w:b/>
      <w:bCs/>
      <w:iCs/>
      <w:color w:val="000000" w:themeColor="text1"/>
    </w:rPr>
  </w:style>
  <w:style w:type="character" w:customStyle="1" w:styleId="Ttulo5Car">
    <w:name w:val="Título 5 Car"/>
    <w:basedOn w:val="Fuentedeprrafopredeter"/>
    <w:link w:val="Ttulo5"/>
    <w:uiPriority w:val="9"/>
    <w:rsid w:val="00127FC7"/>
    <w:rPr>
      <w:rFonts w:eastAsiaTheme="majorEastAsia" w:cstheme="majorBidi"/>
      <w:color w:val="000000" w:themeColor="text1"/>
    </w:rPr>
  </w:style>
  <w:style w:type="character" w:customStyle="1" w:styleId="Ttulo1Car">
    <w:name w:val="Título 1 Car"/>
    <w:basedOn w:val="Fuentedeprrafopredeter"/>
    <w:link w:val="Ttulo1"/>
    <w:uiPriority w:val="9"/>
    <w:rsid w:val="00100B8B"/>
    <w:rPr>
      <w:rFonts w:eastAsiaTheme="majorEastAsia" w:cstheme="majorBidi"/>
      <w:b/>
      <w:bCs/>
      <w:color w:val="000000" w:themeColor="text1"/>
      <w:sz w:val="24"/>
      <w:szCs w:val="28"/>
      <w:u w:val="single"/>
    </w:rPr>
  </w:style>
  <w:style w:type="character" w:customStyle="1" w:styleId="Ttulo6Car">
    <w:name w:val="Título 6 Car"/>
    <w:basedOn w:val="Fuentedeprrafopredeter"/>
    <w:link w:val="Ttulo6"/>
    <w:uiPriority w:val="9"/>
    <w:rsid w:val="00127FC7"/>
    <w:rPr>
      <w:rFonts w:eastAsiaTheme="majorEastAsia" w:cstheme="majorBidi"/>
      <w:i/>
      <w:iCs/>
      <w:color w:val="000000" w:themeColor="text1"/>
    </w:rPr>
  </w:style>
  <w:style w:type="paragraph" w:styleId="Encabezado">
    <w:name w:val="header"/>
    <w:basedOn w:val="Normal"/>
    <w:link w:val="EncabezadoCar"/>
    <w:uiPriority w:val="99"/>
    <w:unhideWhenUsed/>
    <w:rsid w:val="00E706E9"/>
    <w:pPr>
      <w:tabs>
        <w:tab w:val="center" w:pos="4252"/>
        <w:tab w:val="right" w:pos="8504"/>
      </w:tabs>
      <w:spacing w:after="0"/>
    </w:pPr>
  </w:style>
  <w:style w:type="character" w:customStyle="1" w:styleId="EncabezadoCar">
    <w:name w:val="Encabezado Car"/>
    <w:basedOn w:val="Fuentedeprrafopredeter"/>
    <w:link w:val="Encabezado"/>
    <w:uiPriority w:val="99"/>
    <w:rsid w:val="00E706E9"/>
  </w:style>
  <w:style w:type="paragraph" w:styleId="Piedepgina">
    <w:name w:val="footer"/>
    <w:basedOn w:val="Normal"/>
    <w:link w:val="PiedepginaCar"/>
    <w:uiPriority w:val="99"/>
    <w:unhideWhenUsed/>
    <w:rsid w:val="00E706E9"/>
    <w:pPr>
      <w:tabs>
        <w:tab w:val="center" w:pos="4252"/>
        <w:tab w:val="right" w:pos="8504"/>
      </w:tabs>
      <w:spacing w:after="0"/>
    </w:pPr>
  </w:style>
  <w:style w:type="character" w:customStyle="1" w:styleId="PiedepginaCar">
    <w:name w:val="Pie de página Car"/>
    <w:basedOn w:val="Fuentedeprrafopredeter"/>
    <w:link w:val="Piedepgina"/>
    <w:uiPriority w:val="99"/>
    <w:rsid w:val="00E706E9"/>
  </w:style>
  <w:style w:type="paragraph" w:styleId="Prrafodelista">
    <w:name w:val="List Paragraph"/>
    <w:basedOn w:val="Normal"/>
    <w:link w:val="PrrafodelistaCar"/>
    <w:uiPriority w:val="34"/>
    <w:qFormat/>
    <w:rsid w:val="0059744C"/>
    <w:pPr>
      <w:ind w:left="720"/>
      <w:contextualSpacing/>
    </w:pPr>
  </w:style>
  <w:style w:type="paragraph" w:styleId="Textodeglobo">
    <w:name w:val="Balloon Text"/>
    <w:basedOn w:val="Normal"/>
    <w:link w:val="TextodegloboCar"/>
    <w:uiPriority w:val="99"/>
    <w:semiHidden/>
    <w:unhideWhenUsed/>
    <w:rsid w:val="00C07ED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7EDC"/>
    <w:rPr>
      <w:rFonts w:ascii="Tahoma" w:hAnsi="Tahoma" w:cs="Tahoma"/>
      <w:sz w:val="16"/>
      <w:szCs w:val="16"/>
    </w:rPr>
  </w:style>
  <w:style w:type="character" w:customStyle="1" w:styleId="Ttulo7Car">
    <w:name w:val="Título 7 Car"/>
    <w:basedOn w:val="Fuentedeprrafopredeter"/>
    <w:link w:val="Ttulo7"/>
    <w:uiPriority w:val="9"/>
    <w:rsid w:val="00DF31CA"/>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rsid w:val="00DF31CA"/>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DF31CA"/>
    <w:rPr>
      <w:rFonts w:asciiTheme="majorHAnsi" w:eastAsiaTheme="majorEastAsia" w:hAnsiTheme="majorHAnsi" w:cstheme="majorBidi"/>
      <w:i/>
      <w:iCs/>
      <w:color w:val="404040" w:themeColor="text1" w:themeTint="BF"/>
      <w:sz w:val="20"/>
      <w:szCs w:val="20"/>
    </w:rPr>
  </w:style>
  <w:style w:type="character" w:styleId="nfasisintenso">
    <w:name w:val="Intense Emphasis"/>
    <w:basedOn w:val="Fuentedeprrafopredeter"/>
    <w:uiPriority w:val="21"/>
    <w:qFormat/>
    <w:rsid w:val="00DF31CA"/>
    <w:rPr>
      <w:b/>
      <w:bCs/>
      <w:i/>
      <w:iCs/>
      <w:color w:val="4F81BD" w:themeColor="accent1"/>
    </w:rPr>
  </w:style>
  <w:style w:type="paragraph" w:styleId="Sinespaciado">
    <w:name w:val="No Spacing"/>
    <w:uiPriority w:val="1"/>
    <w:qFormat/>
    <w:rsid w:val="00DF31CA"/>
    <w:pPr>
      <w:spacing w:after="0" w:line="240" w:lineRule="auto"/>
      <w:jc w:val="both"/>
    </w:pPr>
  </w:style>
  <w:style w:type="paragraph" w:styleId="Subttulo">
    <w:name w:val="Subtitle"/>
    <w:aliases w:val="Figura Nº"/>
    <w:basedOn w:val="Normal"/>
    <w:next w:val="Normal"/>
    <w:link w:val="SubttuloCar"/>
    <w:uiPriority w:val="11"/>
    <w:qFormat/>
    <w:rsid w:val="00DF31CA"/>
    <w:pPr>
      <w:numPr>
        <w:numId w:val="3"/>
      </w:numPr>
    </w:pPr>
    <w:rPr>
      <w:rFonts w:eastAsiaTheme="majorEastAsia" w:cstheme="majorBidi"/>
      <w:i/>
      <w:iCs/>
      <w:color w:val="000000" w:themeColor="text1"/>
      <w:spacing w:val="15"/>
      <w:sz w:val="18"/>
      <w:szCs w:val="24"/>
    </w:rPr>
  </w:style>
  <w:style w:type="character" w:customStyle="1" w:styleId="SubttuloCar">
    <w:name w:val="Subtítulo Car"/>
    <w:aliases w:val="Figura Nº Car"/>
    <w:basedOn w:val="Fuentedeprrafopredeter"/>
    <w:link w:val="Subttulo"/>
    <w:uiPriority w:val="11"/>
    <w:rsid w:val="00DF31CA"/>
    <w:rPr>
      <w:rFonts w:eastAsiaTheme="majorEastAsia" w:cstheme="majorBidi"/>
      <w:i/>
      <w:iCs/>
      <w:color w:val="000000" w:themeColor="text1"/>
      <w:spacing w:val="15"/>
      <w:sz w:val="18"/>
      <w:szCs w:val="24"/>
    </w:rPr>
  </w:style>
  <w:style w:type="character" w:styleId="nfasissutil">
    <w:name w:val="Subtle Emphasis"/>
    <w:basedOn w:val="Fuentedeprrafopredeter"/>
    <w:uiPriority w:val="19"/>
    <w:qFormat/>
    <w:rsid w:val="00DF31CA"/>
    <w:rPr>
      <w:rFonts w:asciiTheme="minorHAnsi" w:hAnsiTheme="minorHAnsi"/>
      <w:i/>
      <w:iCs/>
      <w:color w:val="808080" w:themeColor="text1" w:themeTint="7F"/>
      <w:sz w:val="18"/>
    </w:rPr>
  </w:style>
  <w:style w:type="paragraph" w:styleId="Cita">
    <w:name w:val="Quote"/>
    <w:basedOn w:val="Normal"/>
    <w:next w:val="Normal"/>
    <w:link w:val="CitaCar"/>
    <w:uiPriority w:val="29"/>
    <w:qFormat/>
    <w:rsid w:val="00546D63"/>
    <w:rPr>
      <w:i/>
      <w:iCs/>
      <w:color w:val="000000" w:themeColor="text1"/>
    </w:rPr>
  </w:style>
  <w:style w:type="character" w:customStyle="1" w:styleId="CitaCar">
    <w:name w:val="Cita Car"/>
    <w:basedOn w:val="Fuentedeprrafopredeter"/>
    <w:link w:val="Cita"/>
    <w:uiPriority w:val="29"/>
    <w:rsid w:val="00546D63"/>
    <w:rPr>
      <w:i/>
      <w:iCs/>
      <w:color w:val="000000" w:themeColor="text1"/>
    </w:rPr>
  </w:style>
  <w:style w:type="paragraph" w:customStyle="1" w:styleId="TablaN">
    <w:name w:val="Tabla Nº"/>
    <w:basedOn w:val="Normal"/>
    <w:uiPriority w:val="11"/>
    <w:qFormat/>
    <w:rsid w:val="00546D63"/>
    <w:pPr>
      <w:numPr>
        <w:numId w:val="4"/>
      </w:numPr>
    </w:pPr>
    <w:rPr>
      <w:i/>
      <w:color w:val="000000" w:themeColor="text1"/>
      <w:sz w:val="18"/>
    </w:rPr>
  </w:style>
  <w:style w:type="paragraph" w:styleId="Ttulo">
    <w:name w:val="Title"/>
    <w:basedOn w:val="Normal"/>
    <w:next w:val="Normal"/>
    <w:link w:val="TtuloCar"/>
    <w:uiPriority w:val="10"/>
    <w:qFormat/>
    <w:rsid w:val="00546D6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546D63"/>
    <w:rPr>
      <w:rFonts w:asciiTheme="majorHAnsi" w:eastAsiaTheme="majorEastAsia" w:hAnsiTheme="majorHAnsi" w:cstheme="majorBidi"/>
      <w:color w:val="17365D" w:themeColor="text2" w:themeShade="BF"/>
      <w:spacing w:val="5"/>
      <w:kern w:val="28"/>
      <w:sz w:val="52"/>
      <w:szCs w:val="52"/>
    </w:rPr>
  </w:style>
  <w:style w:type="paragraph" w:customStyle="1" w:styleId="TtuloDoc">
    <w:name w:val="Título Doc"/>
    <w:basedOn w:val="Normal"/>
    <w:qFormat/>
    <w:rsid w:val="00E75609"/>
    <w:pPr>
      <w:jc w:val="center"/>
    </w:pPr>
    <w:rPr>
      <w:b/>
      <w:sz w:val="32"/>
    </w:rPr>
  </w:style>
  <w:style w:type="paragraph" w:styleId="TDC1">
    <w:name w:val="toc 1"/>
    <w:basedOn w:val="Normal"/>
    <w:next w:val="Normal"/>
    <w:autoRedefine/>
    <w:uiPriority w:val="39"/>
    <w:unhideWhenUsed/>
    <w:rsid w:val="00683BFC"/>
    <w:pPr>
      <w:spacing w:after="100"/>
    </w:pPr>
    <w:rPr>
      <w:b/>
    </w:rPr>
  </w:style>
  <w:style w:type="character" w:styleId="Hipervnculo">
    <w:name w:val="Hyperlink"/>
    <w:basedOn w:val="Fuentedeprrafopredeter"/>
    <w:uiPriority w:val="99"/>
    <w:unhideWhenUsed/>
    <w:rsid w:val="00854667"/>
    <w:rPr>
      <w:color w:val="0000FF" w:themeColor="hyperlink"/>
      <w:u w:val="single"/>
    </w:rPr>
  </w:style>
  <w:style w:type="character" w:customStyle="1" w:styleId="PrrafodelistaCar">
    <w:name w:val="Párrafo de lista Car"/>
    <w:basedOn w:val="Fuentedeprrafopredeter"/>
    <w:link w:val="Prrafodelista"/>
    <w:uiPriority w:val="34"/>
    <w:rsid w:val="00A44F63"/>
  </w:style>
  <w:style w:type="paragraph" w:styleId="TDC2">
    <w:name w:val="toc 2"/>
    <w:basedOn w:val="Normal"/>
    <w:next w:val="Normal"/>
    <w:autoRedefine/>
    <w:uiPriority w:val="39"/>
    <w:unhideWhenUsed/>
    <w:rsid w:val="00A44F63"/>
    <w:pPr>
      <w:spacing w:after="100"/>
      <w:ind w:left="220"/>
    </w:pPr>
  </w:style>
  <w:style w:type="paragraph" w:styleId="TDC3">
    <w:name w:val="toc 3"/>
    <w:basedOn w:val="Normal"/>
    <w:next w:val="Normal"/>
    <w:autoRedefine/>
    <w:uiPriority w:val="39"/>
    <w:unhideWhenUsed/>
    <w:rsid w:val="00A44F63"/>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8B"/>
    <w:pPr>
      <w:jc w:val="both"/>
    </w:pPr>
  </w:style>
  <w:style w:type="paragraph" w:styleId="Ttulo1">
    <w:name w:val="heading 1"/>
    <w:basedOn w:val="Normal"/>
    <w:next w:val="Normal"/>
    <w:link w:val="Ttulo1Car"/>
    <w:uiPriority w:val="9"/>
    <w:qFormat/>
    <w:rsid w:val="00100B8B"/>
    <w:pPr>
      <w:keepNext/>
      <w:keepLines/>
      <w:numPr>
        <w:numId w:val="1"/>
      </w:numPr>
      <w:spacing w:before="360"/>
      <w:ind w:left="0" w:firstLine="0"/>
      <w:outlineLvl w:val="0"/>
    </w:pPr>
    <w:rPr>
      <w:rFonts w:eastAsiaTheme="majorEastAsia" w:cstheme="majorBidi"/>
      <w:b/>
      <w:bCs/>
      <w:color w:val="000000" w:themeColor="text1"/>
      <w:sz w:val="24"/>
      <w:szCs w:val="28"/>
      <w:u w:val="single"/>
    </w:rPr>
  </w:style>
  <w:style w:type="paragraph" w:styleId="Ttulo2">
    <w:name w:val="heading 2"/>
    <w:basedOn w:val="Normal"/>
    <w:next w:val="Normal"/>
    <w:link w:val="Ttulo2Car"/>
    <w:uiPriority w:val="9"/>
    <w:unhideWhenUsed/>
    <w:qFormat/>
    <w:rsid w:val="00100B8B"/>
    <w:pPr>
      <w:keepNext/>
      <w:keepLines/>
      <w:numPr>
        <w:ilvl w:val="1"/>
        <w:numId w:val="1"/>
      </w:numPr>
      <w:spacing w:before="360"/>
      <w:ind w:left="0" w:firstLine="0"/>
      <w:outlineLvl w:val="1"/>
    </w:pPr>
    <w:rPr>
      <w:rFonts w:eastAsiaTheme="majorEastAsia" w:cstheme="majorBidi"/>
      <w:b/>
      <w:bCs/>
      <w:color w:val="000000" w:themeColor="text1"/>
      <w:sz w:val="24"/>
      <w:szCs w:val="26"/>
    </w:rPr>
  </w:style>
  <w:style w:type="paragraph" w:styleId="Ttulo3">
    <w:name w:val="heading 3"/>
    <w:basedOn w:val="Normal"/>
    <w:next w:val="Normal"/>
    <w:link w:val="Ttulo3Car"/>
    <w:uiPriority w:val="9"/>
    <w:unhideWhenUsed/>
    <w:qFormat/>
    <w:rsid w:val="00100B8B"/>
    <w:pPr>
      <w:keepNext/>
      <w:keepLines/>
      <w:numPr>
        <w:ilvl w:val="2"/>
        <w:numId w:val="1"/>
      </w:numPr>
      <w:spacing w:before="360"/>
      <w:ind w:left="0" w:firstLine="0"/>
      <w:outlineLvl w:val="2"/>
    </w:pPr>
    <w:rPr>
      <w:rFonts w:eastAsiaTheme="majorEastAsia" w:cstheme="majorBidi"/>
      <w:b/>
      <w:bCs/>
      <w:i/>
      <w:color w:val="000000" w:themeColor="text1"/>
      <w:sz w:val="24"/>
    </w:rPr>
  </w:style>
  <w:style w:type="paragraph" w:styleId="Ttulo4">
    <w:name w:val="heading 4"/>
    <w:basedOn w:val="Normal"/>
    <w:next w:val="Normal"/>
    <w:link w:val="Ttulo4Car"/>
    <w:uiPriority w:val="9"/>
    <w:unhideWhenUsed/>
    <w:qFormat/>
    <w:rsid w:val="00326A05"/>
    <w:pPr>
      <w:keepNext/>
      <w:keepLines/>
      <w:numPr>
        <w:ilvl w:val="3"/>
        <w:numId w:val="1"/>
      </w:numPr>
      <w:spacing w:before="200"/>
      <w:ind w:left="113" w:firstLine="0"/>
      <w:outlineLvl w:val="3"/>
    </w:pPr>
    <w:rPr>
      <w:rFonts w:eastAsiaTheme="majorEastAsia" w:cstheme="majorBidi"/>
      <w:b/>
      <w:bCs/>
      <w:iCs/>
      <w:color w:val="000000" w:themeColor="text1"/>
    </w:rPr>
  </w:style>
  <w:style w:type="paragraph" w:styleId="Ttulo5">
    <w:name w:val="heading 5"/>
    <w:basedOn w:val="Normal"/>
    <w:next w:val="Normal"/>
    <w:link w:val="Ttulo5Car"/>
    <w:uiPriority w:val="9"/>
    <w:unhideWhenUsed/>
    <w:qFormat/>
    <w:rsid w:val="00127FC7"/>
    <w:pPr>
      <w:keepNext/>
      <w:keepLines/>
      <w:numPr>
        <w:ilvl w:val="4"/>
        <w:numId w:val="1"/>
      </w:numPr>
      <w:spacing w:before="200"/>
      <w:ind w:left="113" w:firstLine="0"/>
      <w:outlineLvl w:val="4"/>
    </w:pPr>
    <w:rPr>
      <w:rFonts w:eastAsiaTheme="majorEastAsia" w:cstheme="majorBidi"/>
      <w:color w:val="000000" w:themeColor="text1"/>
    </w:rPr>
  </w:style>
  <w:style w:type="paragraph" w:styleId="Ttulo6">
    <w:name w:val="heading 6"/>
    <w:basedOn w:val="Normal"/>
    <w:next w:val="Normal"/>
    <w:link w:val="Ttulo6Car"/>
    <w:uiPriority w:val="9"/>
    <w:unhideWhenUsed/>
    <w:qFormat/>
    <w:rsid w:val="00127FC7"/>
    <w:pPr>
      <w:keepNext/>
      <w:keepLines/>
      <w:numPr>
        <w:ilvl w:val="5"/>
        <w:numId w:val="1"/>
      </w:numPr>
      <w:spacing w:before="200"/>
      <w:ind w:left="113" w:firstLine="0"/>
      <w:outlineLvl w:val="5"/>
    </w:pPr>
    <w:rPr>
      <w:rFonts w:eastAsiaTheme="majorEastAsia" w:cstheme="majorBidi"/>
      <w:i/>
      <w:iCs/>
      <w:color w:val="000000" w:themeColor="text1"/>
    </w:rPr>
  </w:style>
  <w:style w:type="paragraph" w:styleId="Ttulo7">
    <w:name w:val="heading 7"/>
    <w:basedOn w:val="Normal"/>
    <w:next w:val="Normal"/>
    <w:link w:val="Ttulo7Car"/>
    <w:uiPriority w:val="9"/>
    <w:unhideWhenUsed/>
    <w:qFormat/>
    <w:rsid w:val="00DF31C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unhideWhenUsed/>
    <w:qFormat/>
    <w:rsid w:val="00DF31C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DF31C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00B8B"/>
    <w:rPr>
      <w:rFonts w:eastAsiaTheme="majorEastAsia" w:cstheme="majorBidi"/>
      <w:b/>
      <w:bCs/>
      <w:color w:val="000000" w:themeColor="text1"/>
      <w:sz w:val="24"/>
      <w:szCs w:val="26"/>
    </w:rPr>
  </w:style>
  <w:style w:type="character" w:customStyle="1" w:styleId="Ttulo3Car">
    <w:name w:val="Título 3 Car"/>
    <w:basedOn w:val="Fuentedeprrafopredeter"/>
    <w:link w:val="Ttulo3"/>
    <w:uiPriority w:val="9"/>
    <w:rsid w:val="00100B8B"/>
    <w:rPr>
      <w:rFonts w:eastAsiaTheme="majorEastAsia" w:cstheme="majorBidi"/>
      <w:b/>
      <w:bCs/>
      <w:i/>
      <w:color w:val="000000" w:themeColor="text1"/>
      <w:sz w:val="24"/>
    </w:rPr>
  </w:style>
  <w:style w:type="character" w:customStyle="1" w:styleId="Ttulo4Car">
    <w:name w:val="Título 4 Car"/>
    <w:basedOn w:val="Fuentedeprrafopredeter"/>
    <w:link w:val="Ttulo4"/>
    <w:uiPriority w:val="9"/>
    <w:rsid w:val="00326A05"/>
    <w:rPr>
      <w:rFonts w:eastAsiaTheme="majorEastAsia" w:cstheme="majorBidi"/>
      <w:b/>
      <w:bCs/>
      <w:iCs/>
      <w:color w:val="000000" w:themeColor="text1"/>
    </w:rPr>
  </w:style>
  <w:style w:type="character" w:customStyle="1" w:styleId="Ttulo5Car">
    <w:name w:val="Título 5 Car"/>
    <w:basedOn w:val="Fuentedeprrafopredeter"/>
    <w:link w:val="Ttulo5"/>
    <w:uiPriority w:val="9"/>
    <w:rsid w:val="00127FC7"/>
    <w:rPr>
      <w:rFonts w:eastAsiaTheme="majorEastAsia" w:cstheme="majorBidi"/>
      <w:color w:val="000000" w:themeColor="text1"/>
    </w:rPr>
  </w:style>
  <w:style w:type="character" w:customStyle="1" w:styleId="Ttulo1Car">
    <w:name w:val="Título 1 Car"/>
    <w:basedOn w:val="Fuentedeprrafopredeter"/>
    <w:link w:val="Ttulo1"/>
    <w:uiPriority w:val="9"/>
    <w:rsid w:val="00100B8B"/>
    <w:rPr>
      <w:rFonts w:eastAsiaTheme="majorEastAsia" w:cstheme="majorBidi"/>
      <w:b/>
      <w:bCs/>
      <w:color w:val="000000" w:themeColor="text1"/>
      <w:sz w:val="24"/>
      <w:szCs w:val="28"/>
      <w:u w:val="single"/>
    </w:rPr>
  </w:style>
  <w:style w:type="character" w:customStyle="1" w:styleId="Ttulo6Car">
    <w:name w:val="Título 6 Car"/>
    <w:basedOn w:val="Fuentedeprrafopredeter"/>
    <w:link w:val="Ttulo6"/>
    <w:uiPriority w:val="9"/>
    <w:rsid w:val="00127FC7"/>
    <w:rPr>
      <w:rFonts w:eastAsiaTheme="majorEastAsia" w:cstheme="majorBidi"/>
      <w:i/>
      <w:iCs/>
      <w:color w:val="000000" w:themeColor="text1"/>
    </w:rPr>
  </w:style>
  <w:style w:type="paragraph" w:styleId="Encabezado">
    <w:name w:val="header"/>
    <w:basedOn w:val="Normal"/>
    <w:link w:val="EncabezadoCar"/>
    <w:uiPriority w:val="99"/>
    <w:unhideWhenUsed/>
    <w:rsid w:val="00E706E9"/>
    <w:pPr>
      <w:tabs>
        <w:tab w:val="center" w:pos="4252"/>
        <w:tab w:val="right" w:pos="8504"/>
      </w:tabs>
      <w:spacing w:after="0"/>
    </w:pPr>
  </w:style>
  <w:style w:type="character" w:customStyle="1" w:styleId="EncabezadoCar">
    <w:name w:val="Encabezado Car"/>
    <w:basedOn w:val="Fuentedeprrafopredeter"/>
    <w:link w:val="Encabezado"/>
    <w:uiPriority w:val="99"/>
    <w:rsid w:val="00E706E9"/>
  </w:style>
  <w:style w:type="paragraph" w:styleId="Piedepgina">
    <w:name w:val="footer"/>
    <w:basedOn w:val="Normal"/>
    <w:link w:val="PiedepginaCar"/>
    <w:uiPriority w:val="99"/>
    <w:unhideWhenUsed/>
    <w:rsid w:val="00E706E9"/>
    <w:pPr>
      <w:tabs>
        <w:tab w:val="center" w:pos="4252"/>
        <w:tab w:val="right" w:pos="8504"/>
      </w:tabs>
      <w:spacing w:after="0"/>
    </w:pPr>
  </w:style>
  <w:style w:type="character" w:customStyle="1" w:styleId="PiedepginaCar">
    <w:name w:val="Pie de página Car"/>
    <w:basedOn w:val="Fuentedeprrafopredeter"/>
    <w:link w:val="Piedepgina"/>
    <w:uiPriority w:val="99"/>
    <w:rsid w:val="00E706E9"/>
  </w:style>
  <w:style w:type="paragraph" w:styleId="Prrafodelista">
    <w:name w:val="List Paragraph"/>
    <w:basedOn w:val="Normal"/>
    <w:link w:val="PrrafodelistaCar"/>
    <w:uiPriority w:val="34"/>
    <w:qFormat/>
    <w:rsid w:val="0059744C"/>
    <w:pPr>
      <w:ind w:left="720"/>
      <w:contextualSpacing/>
    </w:pPr>
  </w:style>
  <w:style w:type="paragraph" w:styleId="Textodeglobo">
    <w:name w:val="Balloon Text"/>
    <w:basedOn w:val="Normal"/>
    <w:link w:val="TextodegloboCar"/>
    <w:uiPriority w:val="99"/>
    <w:semiHidden/>
    <w:unhideWhenUsed/>
    <w:rsid w:val="00C07ED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7EDC"/>
    <w:rPr>
      <w:rFonts w:ascii="Tahoma" w:hAnsi="Tahoma" w:cs="Tahoma"/>
      <w:sz w:val="16"/>
      <w:szCs w:val="16"/>
    </w:rPr>
  </w:style>
  <w:style w:type="character" w:customStyle="1" w:styleId="Ttulo7Car">
    <w:name w:val="Título 7 Car"/>
    <w:basedOn w:val="Fuentedeprrafopredeter"/>
    <w:link w:val="Ttulo7"/>
    <w:uiPriority w:val="9"/>
    <w:rsid w:val="00DF31CA"/>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rsid w:val="00DF31CA"/>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DF31CA"/>
    <w:rPr>
      <w:rFonts w:asciiTheme="majorHAnsi" w:eastAsiaTheme="majorEastAsia" w:hAnsiTheme="majorHAnsi" w:cstheme="majorBidi"/>
      <w:i/>
      <w:iCs/>
      <w:color w:val="404040" w:themeColor="text1" w:themeTint="BF"/>
      <w:sz w:val="20"/>
      <w:szCs w:val="20"/>
    </w:rPr>
  </w:style>
  <w:style w:type="character" w:styleId="nfasisintenso">
    <w:name w:val="Intense Emphasis"/>
    <w:basedOn w:val="Fuentedeprrafopredeter"/>
    <w:uiPriority w:val="21"/>
    <w:qFormat/>
    <w:rsid w:val="00DF31CA"/>
    <w:rPr>
      <w:b/>
      <w:bCs/>
      <w:i/>
      <w:iCs/>
      <w:color w:val="4F81BD" w:themeColor="accent1"/>
    </w:rPr>
  </w:style>
  <w:style w:type="paragraph" w:styleId="Sinespaciado">
    <w:name w:val="No Spacing"/>
    <w:uiPriority w:val="1"/>
    <w:qFormat/>
    <w:rsid w:val="00DF31CA"/>
    <w:pPr>
      <w:spacing w:after="0" w:line="240" w:lineRule="auto"/>
      <w:jc w:val="both"/>
    </w:pPr>
  </w:style>
  <w:style w:type="paragraph" w:styleId="Subttulo">
    <w:name w:val="Subtitle"/>
    <w:aliases w:val="Figura Nº"/>
    <w:basedOn w:val="Normal"/>
    <w:next w:val="Normal"/>
    <w:link w:val="SubttuloCar"/>
    <w:uiPriority w:val="11"/>
    <w:qFormat/>
    <w:rsid w:val="00DF31CA"/>
    <w:pPr>
      <w:numPr>
        <w:numId w:val="3"/>
      </w:numPr>
    </w:pPr>
    <w:rPr>
      <w:rFonts w:eastAsiaTheme="majorEastAsia" w:cstheme="majorBidi"/>
      <w:i/>
      <w:iCs/>
      <w:color w:val="000000" w:themeColor="text1"/>
      <w:spacing w:val="15"/>
      <w:sz w:val="18"/>
      <w:szCs w:val="24"/>
    </w:rPr>
  </w:style>
  <w:style w:type="character" w:customStyle="1" w:styleId="SubttuloCar">
    <w:name w:val="Subtítulo Car"/>
    <w:aliases w:val="Figura Nº Car"/>
    <w:basedOn w:val="Fuentedeprrafopredeter"/>
    <w:link w:val="Subttulo"/>
    <w:uiPriority w:val="11"/>
    <w:rsid w:val="00DF31CA"/>
    <w:rPr>
      <w:rFonts w:eastAsiaTheme="majorEastAsia" w:cstheme="majorBidi"/>
      <w:i/>
      <w:iCs/>
      <w:color w:val="000000" w:themeColor="text1"/>
      <w:spacing w:val="15"/>
      <w:sz w:val="18"/>
      <w:szCs w:val="24"/>
    </w:rPr>
  </w:style>
  <w:style w:type="character" w:styleId="nfasissutil">
    <w:name w:val="Subtle Emphasis"/>
    <w:basedOn w:val="Fuentedeprrafopredeter"/>
    <w:uiPriority w:val="19"/>
    <w:qFormat/>
    <w:rsid w:val="00DF31CA"/>
    <w:rPr>
      <w:rFonts w:asciiTheme="minorHAnsi" w:hAnsiTheme="minorHAnsi"/>
      <w:i/>
      <w:iCs/>
      <w:color w:val="808080" w:themeColor="text1" w:themeTint="7F"/>
      <w:sz w:val="18"/>
    </w:rPr>
  </w:style>
  <w:style w:type="paragraph" w:styleId="Cita">
    <w:name w:val="Quote"/>
    <w:basedOn w:val="Normal"/>
    <w:next w:val="Normal"/>
    <w:link w:val="CitaCar"/>
    <w:uiPriority w:val="29"/>
    <w:qFormat/>
    <w:rsid w:val="00546D63"/>
    <w:rPr>
      <w:i/>
      <w:iCs/>
      <w:color w:val="000000" w:themeColor="text1"/>
    </w:rPr>
  </w:style>
  <w:style w:type="character" w:customStyle="1" w:styleId="CitaCar">
    <w:name w:val="Cita Car"/>
    <w:basedOn w:val="Fuentedeprrafopredeter"/>
    <w:link w:val="Cita"/>
    <w:uiPriority w:val="29"/>
    <w:rsid w:val="00546D63"/>
    <w:rPr>
      <w:i/>
      <w:iCs/>
      <w:color w:val="000000" w:themeColor="text1"/>
    </w:rPr>
  </w:style>
  <w:style w:type="paragraph" w:customStyle="1" w:styleId="TablaN">
    <w:name w:val="Tabla Nº"/>
    <w:basedOn w:val="Normal"/>
    <w:uiPriority w:val="11"/>
    <w:qFormat/>
    <w:rsid w:val="00546D63"/>
    <w:pPr>
      <w:numPr>
        <w:numId w:val="4"/>
      </w:numPr>
    </w:pPr>
    <w:rPr>
      <w:i/>
      <w:color w:val="000000" w:themeColor="text1"/>
      <w:sz w:val="18"/>
    </w:rPr>
  </w:style>
  <w:style w:type="paragraph" w:styleId="Ttulo">
    <w:name w:val="Title"/>
    <w:basedOn w:val="Normal"/>
    <w:next w:val="Normal"/>
    <w:link w:val="TtuloCar"/>
    <w:uiPriority w:val="10"/>
    <w:qFormat/>
    <w:rsid w:val="00546D6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546D63"/>
    <w:rPr>
      <w:rFonts w:asciiTheme="majorHAnsi" w:eastAsiaTheme="majorEastAsia" w:hAnsiTheme="majorHAnsi" w:cstheme="majorBidi"/>
      <w:color w:val="17365D" w:themeColor="text2" w:themeShade="BF"/>
      <w:spacing w:val="5"/>
      <w:kern w:val="28"/>
      <w:sz w:val="52"/>
      <w:szCs w:val="52"/>
    </w:rPr>
  </w:style>
  <w:style w:type="paragraph" w:customStyle="1" w:styleId="TtuloDoc">
    <w:name w:val="Título Doc"/>
    <w:basedOn w:val="Normal"/>
    <w:qFormat/>
    <w:rsid w:val="00E75609"/>
    <w:pPr>
      <w:jc w:val="center"/>
    </w:pPr>
    <w:rPr>
      <w:b/>
      <w:sz w:val="32"/>
    </w:rPr>
  </w:style>
  <w:style w:type="paragraph" w:styleId="TDC1">
    <w:name w:val="toc 1"/>
    <w:basedOn w:val="Normal"/>
    <w:next w:val="Normal"/>
    <w:autoRedefine/>
    <w:uiPriority w:val="39"/>
    <w:unhideWhenUsed/>
    <w:rsid w:val="00683BFC"/>
    <w:pPr>
      <w:spacing w:after="100"/>
    </w:pPr>
    <w:rPr>
      <w:b/>
    </w:rPr>
  </w:style>
  <w:style w:type="character" w:styleId="Hipervnculo">
    <w:name w:val="Hyperlink"/>
    <w:basedOn w:val="Fuentedeprrafopredeter"/>
    <w:uiPriority w:val="99"/>
    <w:unhideWhenUsed/>
    <w:rsid w:val="00854667"/>
    <w:rPr>
      <w:color w:val="0000FF" w:themeColor="hyperlink"/>
      <w:u w:val="single"/>
    </w:rPr>
  </w:style>
  <w:style w:type="character" w:customStyle="1" w:styleId="PrrafodelistaCar">
    <w:name w:val="Párrafo de lista Car"/>
    <w:basedOn w:val="Fuentedeprrafopredeter"/>
    <w:link w:val="Prrafodelista"/>
    <w:uiPriority w:val="34"/>
    <w:rsid w:val="00A44F63"/>
  </w:style>
  <w:style w:type="paragraph" w:styleId="TDC2">
    <w:name w:val="toc 2"/>
    <w:basedOn w:val="Normal"/>
    <w:next w:val="Normal"/>
    <w:autoRedefine/>
    <w:uiPriority w:val="39"/>
    <w:unhideWhenUsed/>
    <w:rsid w:val="00A44F63"/>
    <w:pPr>
      <w:spacing w:after="100"/>
      <w:ind w:left="220"/>
    </w:pPr>
  </w:style>
  <w:style w:type="paragraph" w:styleId="TDC3">
    <w:name w:val="toc 3"/>
    <w:basedOn w:val="Normal"/>
    <w:next w:val="Normal"/>
    <w:autoRedefine/>
    <w:uiPriority w:val="39"/>
    <w:unhideWhenUsed/>
    <w:rsid w:val="00A44F63"/>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AD957A-99D7-468E-A69E-4478390D8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5009</Words>
  <Characters>27555</Characters>
  <Application>Microsoft Office Word</Application>
  <DocSecurity>0</DocSecurity>
  <Lines>229</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Beatriz</cp:lastModifiedBy>
  <cp:revision>3</cp:revision>
  <cp:lastPrinted>2020-06-04T15:50:00Z</cp:lastPrinted>
  <dcterms:created xsi:type="dcterms:W3CDTF">2020-05-12T11:17:00Z</dcterms:created>
  <dcterms:modified xsi:type="dcterms:W3CDTF">2020-06-04T15:54:00Z</dcterms:modified>
</cp:coreProperties>
</file>